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101" w:rsidRPr="00E62DB8" w:rsidRDefault="00C41101" w:rsidP="00C41101">
      <w:pPr>
        <w:spacing w:line="240" w:lineRule="exact"/>
        <w:rPr>
          <w:rFonts w:ascii="Arial" w:hAnsi="Arial" w:cs="Arial"/>
          <w:b/>
        </w:rPr>
      </w:pPr>
      <w:r w:rsidRPr="00E62DB8">
        <w:rPr>
          <w:rFonts w:ascii="Arial" w:hAnsi="Arial" w:cs="Arial"/>
          <w:b/>
        </w:rPr>
        <w:t>Region Syddanmark</w:t>
      </w:r>
    </w:p>
    <w:p w:rsidR="00C41101" w:rsidRPr="00E62DB8" w:rsidRDefault="00C41101" w:rsidP="00C41101">
      <w:pPr>
        <w:rPr>
          <w:rFonts w:ascii="Arial" w:hAnsi="Arial" w:cs="Arial"/>
          <w:b/>
        </w:rPr>
      </w:pPr>
    </w:p>
    <w:p w:rsidR="00C41101" w:rsidRPr="00E62DB8" w:rsidRDefault="00C41101" w:rsidP="00E62DB8">
      <w:pPr>
        <w:pStyle w:val="Overskrift1"/>
        <w:rPr>
          <w:rFonts w:ascii="Arial" w:hAnsi="Arial" w:cs="Arial"/>
        </w:rPr>
      </w:pPr>
      <w:r w:rsidRPr="00E62DB8">
        <w:rPr>
          <w:rFonts w:ascii="Arial" w:hAnsi="Arial" w:cs="Arial"/>
        </w:rPr>
        <w:t xml:space="preserve">Praktikanter i Region Syddanmarks udbud </w:t>
      </w:r>
    </w:p>
    <w:p w:rsidR="00C41101" w:rsidRPr="00E62DB8" w:rsidRDefault="00C41101" w:rsidP="00E62DB8">
      <w:pPr>
        <w:pStyle w:val="Overskrift1"/>
        <w:rPr>
          <w:rFonts w:ascii="Arial" w:hAnsi="Arial" w:cs="Arial"/>
        </w:rPr>
      </w:pPr>
      <w:r w:rsidRPr="00E62DB8">
        <w:rPr>
          <w:rFonts w:ascii="Arial" w:hAnsi="Arial" w:cs="Arial"/>
        </w:rPr>
        <w:t>Vejledning til rådgivere antaget til at bistå med udbud og kontrahering</w:t>
      </w:r>
    </w:p>
    <w:p w:rsidR="00C41101" w:rsidRPr="00E62DB8" w:rsidRDefault="00C41101" w:rsidP="00C41101">
      <w:pPr>
        <w:rPr>
          <w:rFonts w:ascii="Arial" w:hAnsi="Arial" w:cs="Arial"/>
          <w:b/>
        </w:rPr>
      </w:pPr>
    </w:p>
    <w:p w:rsidR="00C41101" w:rsidRPr="00E62DB8" w:rsidRDefault="00C41101" w:rsidP="00E62DB8">
      <w:pPr>
        <w:pStyle w:val="Overskrift2"/>
        <w:rPr>
          <w:rFonts w:ascii="Arial" w:hAnsi="Arial" w:cs="Arial"/>
        </w:rPr>
      </w:pPr>
      <w:r w:rsidRPr="00E62DB8">
        <w:rPr>
          <w:rFonts w:ascii="Arial" w:hAnsi="Arial" w:cs="Arial"/>
        </w:rPr>
        <w:br/>
        <w:t>1) Relevante udbud</w:t>
      </w:r>
    </w:p>
    <w:p w:rsidR="00C41101" w:rsidRPr="00E62DB8" w:rsidRDefault="00C41101" w:rsidP="00C41101">
      <w:pPr>
        <w:rPr>
          <w:rFonts w:ascii="Arial" w:hAnsi="Arial" w:cs="Arial"/>
          <w:b/>
          <w:i/>
          <w:sz w:val="20"/>
        </w:rPr>
      </w:pPr>
    </w:p>
    <w:p w:rsidR="00C41101" w:rsidRPr="00E62DB8" w:rsidRDefault="00C41101" w:rsidP="00C41101">
      <w:pPr>
        <w:rPr>
          <w:rFonts w:ascii="Arial" w:hAnsi="Arial" w:cs="Arial"/>
          <w:sz w:val="20"/>
          <w:szCs w:val="20"/>
          <w:highlight w:val="yellow"/>
        </w:rPr>
      </w:pPr>
      <w:r w:rsidRPr="00E62DB8">
        <w:rPr>
          <w:rFonts w:ascii="Arial" w:hAnsi="Arial" w:cs="Arial"/>
          <w:sz w:val="20"/>
          <w:szCs w:val="20"/>
        </w:rPr>
        <w:t>Region Syddanmark har besluttet, at der skal stilles krav om beskæftigelse af praktikanter ved udførelsen af visse af regionens bygge- og anlægs- samt rådgivningsopgaver. Fra den 1. januar 2014 er regionen desuden i henhold til aftale med regerin</w:t>
      </w:r>
      <w:bookmarkStart w:id="0" w:name="_GoBack"/>
      <w:bookmarkEnd w:id="0"/>
      <w:r w:rsidRPr="00E62DB8">
        <w:rPr>
          <w:rFonts w:ascii="Arial" w:hAnsi="Arial" w:cs="Arial"/>
          <w:sz w:val="20"/>
          <w:szCs w:val="20"/>
        </w:rPr>
        <w:t>gen forpligtet til at anvende sociale klausuler med praktik- og uddannelseskrav i relevante udbud. Pligten baserer sig på et såkaldt ”følg-eller-forklar”-princip, som indebærer, at regionen i relevante udbud enten skal anvende sociale klausuler eller forklare offentligt, hvorfor regionen ikke gør det.</w:t>
      </w:r>
    </w:p>
    <w:p w:rsidR="00C41101" w:rsidRPr="00E62DB8" w:rsidRDefault="00C41101" w:rsidP="00C41101">
      <w:pPr>
        <w:rPr>
          <w:rFonts w:ascii="Arial" w:hAnsi="Arial" w:cs="Arial"/>
          <w:sz w:val="20"/>
          <w:szCs w:val="20"/>
          <w:highlight w:val="yellow"/>
        </w:rPr>
      </w:pPr>
    </w:p>
    <w:p w:rsidR="00C41101" w:rsidRPr="00E62DB8" w:rsidRDefault="00C41101" w:rsidP="00C41101">
      <w:pPr>
        <w:rPr>
          <w:rFonts w:ascii="Arial" w:hAnsi="Arial" w:cs="Arial"/>
          <w:sz w:val="20"/>
          <w:szCs w:val="20"/>
        </w:rPr>
      </w:pPr>
      <w:r w:rsidRPr="00E62DB8">
        <w:rPr>
          <w:rFonts w:ascii="Arial" w:hAnsi="Arial" w:cs="Arial"/>
          <w:sz w:val="20"/>
          <w:szCs w:val="20"/>
        </w:rPr>
        <w:t>Pligten i henhold til ”følg-eller-forklar”-princippet gælder for relevante udbud. ”Relevante udbud” er i henhold til vejledning om sociale klausuler i udbud, december 2018 fra Konkurrence- og Forbrugerstyrelsen:</w:t>
      </w:r>
    </w:p>
    <w:p w:rsidR="00C41101" w:rsidRPr="00E62DB8" w:rsidRDefault="00C41101" w:rsidP="00C41101">
      <w:pPr>
        <w:pStyle w:val="Boks-TekstGR"/>
        <w:numPr>
          <w:ilvl w:val="0"/>
          <w:numId w:val="2"/>
        </w:numPr>
        <w:spacing w:line="240" w:lineRule="auto"/>
        <w:jc w:val="both"/>
        <w:rPr>
          <w:rFonts w:ascii="Arial" w:hAnsi="Arial" w:cs="Arial"/>
          <w:color w:val="auto"/>
          <w:sz w:val="20"/>
          <w:szCs w:val="20"/>
          <w:lang w:val="da-DK" w:eastAsia="da-DK" w:bidi="my-MM"/>
        </w:rPr>
      </w:pPr>
      <w:r w:rsidRPr="00E62DB8">
        <w:rPr>
          <w:rFonts w:ascii="Arial" w:hAnsi="Arial" w:cs="Arial"/>
          <w:color w:val="auto"/>
          <w:sz w:val="20"/>
          <w:szCs w:val="20"/>
          <w:lang w:val="da-DK" w:eastAsia="da-DK" w:bidi="my-MM"/>
        </w:rPr>
        <w:t>Bygge- og anlægskontrakter, hvor kontrakten udføres i Danmark, og har en varighed på minimum 6 måneder og en kontraktværdi på mindst 5 mio. ekskl. moms og/eller en lønsum på 4 mio. kr., og</w:t>
      </w:r>
    </w:p>
    <w:p w:rsidR="00C41101" w:rsidRPr="00E62DB8" w:rsidRDefault="00C41101" w:rsidP="00C41101">
      <w:pPr>
        <w:pStyle w:val="Boks-TekstGR"/>
        <w:numPr>
          <w:ilvl w:val="0"/>
          <w:numId w:val="2"/>
        </w:numPr>
        <w:spacing w:line="240" w:lineRule="auto"/>
        <w:jc w:val="both"/>
        <w:rPr>
          <w:rFonts w:ascii="Arial" w:hAnsi="Arial" w:cs="Arial"/>
          <w:color w:val="auto"/>
          <w:sz w:val="20"/>
          <w:szCs w:val="20"/>
          <w:lang w:val="da-DK" w:eastAsia="da-DK" w:bidi="my-MM"/>
        </w:rPr>
      </w:pPr>
      <w:r w:rsidRPr="00E62DB8">
        <w:rPr>
          <w:rFonts w:ascii="Arial" w:hAnsi="Arial" w:cs="Arial"/>
          <w:color w:val="auto"/>
          <w:sz w:val="20"/>
          <w:szCs w:val="20"/>
          <w:lang w:val="da-DK" w:eastAsia="da-DK" w:bidi="my-MM"/>
        </w:rPr>
        <w:t>Tjenesteydelseskontrakter, hvor kontrakten udføres i Danmark, og har et driftselement, en varighed på minimum 6 måneder og en kontraktværdi på mindst 5 mio. ekskl. moms og/eller en lønsum på 4. mio. kr.</w:t>
      </w:r>
    </w:p>
    <w:p w:rsidR="00C41101" w:rsidRPr="00E62DB8" w:rsidRDefault="00C41101" w:rsidP="00C41101">
      <w:pPr>
        <w:rPr>
          <w:rFonts w:ascii="Arial" w:hAnsi="Arial" w:cs="Arial"/>
          <w:szCs w:val="20"/>
        </w:rPr>
      </w:pPr>
    </w:p>
    <w:p w:rsidR="00C41101" w:rsidRPr="00E62DB8" w:rsidRDefault="00C41101" w:rsidP="00C41101">
      <w:pPr>
        <w:rPr>
          <w:rFonts w:ascii="Arial" w:hAnsi="Arial" w:cs="Arial"/>
          <w:sz w:val="20"/>
          <w:szCs w:val="20"/>
        </w:rPr>
      </w:pPr>
      <w:r w:rsidRPr="00E62DB8">
        <w:rPr>
          <w:rFonts w:ascii="Arial" w:hAnsi="Arial" w:cs="Arial"/>
          <w:sz w:val="20"/>
          <w:szCs w:val="20"/>
        </w:rPr>
        <w:t>En entreprise med en forventet kontraktværdi ekskl. moms på 4,8 mio. kr., men skønnede lønudgifter på 4 mio. kr. eller mere, er således også omfattet af kravet, idet alle opgaver med lønudgifter på over 4. mio. er omfattet af ordningen.</w:t>
      </w:r>
    </w:p>
    <w:p w:rsidR="00C41101" w:rsidRPr="00E62DB8" w:rsidRDefault="00C41101" w:rsidP="00C41101">
      <w:pPr>
        <w:rPr>
          <w:rFonts w:ascii="Arial" w:hAnsi="Arial" w:cs="Arial"/>
          <w:sz w:val="20"/>
          <w:szCs w:val="20"/>
        </w:rPr>
      </w:pPr>
    </w:p>
    <w:p w:rsidR="00C41101" w:rsidRPr="00E62DB8" w:rsidRDefault="00C41101" w:rsidP="00C41101">
      <w:pPr>
        <w:rPr>
          <w:rFonts w:ascii="Arial" w:hAnsi="Arial" w:cs="Arial"/>
          <w:sz w:val="20"/>
          <w:szCs w:val="20"/>
        </w:rPr>
      </w:pPr>
      <w:r w:rsidRPr="00E62DB8">
        <w:rPr>
          <w:rFonts w:ascii="Arial" w:hAnsi="Arial" w:cs="Arial"/>
          <w:sz w:val="20"/>
          <w:szCs w:val="20"/>
        </w:rPr>
        <w:t xml:space="preserve">I relevante udbud skal der i kontrakten indsættes en kontraktklausul med krav om beskæftigelse af praktikanter. </w:t>
      </w:r>
    </w:p>
    <w:p w:rsidR="00C41101" w:rsidRPr="00E62DB8" w:rsidRDefault="00C41101" w:rsidP="00C41101">
      <w:pPr>
        <w:rPr>
          <w:rFonts w:ascii="Arial" w:hAnsi="Arial" w:cs="Arial"/>
          <w:sz w:val="20"/>
          <w:szCs w:val="20"/>
        </w:rPr>
      </w:pPr>
    </w:p>
    <w:p w:rsidR="00C41101" w:rsidRPr="00E62DB8" w:rsidRDefault="00C41101" w:rsidP="00C41101">
      <w:pPr>
        <w:rPr>
          <w:rFonts w:ascii="Arial" w:hAnsi="Arial" w:cs="Arial"/>
          <w:sz w:val="20"/>
          <w:szCs w:val="20"/>
        </w:rPr>
      </w:pPr>
      <w:r w:rsidRPr="00E62DB8">
        <w:rPr>
          <w:rFonts w:ascii="Arial" w:hAnsi="Arial" w:cs="Arial"/>
          <w:sz w:val="20"/>
          <w:szCs w:val="20"/>
        </w:rPr>
        <w:t xml:space="preserve">Hvis der ikke indsættes social klausul i kontrakten, selvom ovennævnte kriterier er opfyldt, skal der udarbejdes en begrundelse for, hvorfor klausul er udeladt. Begrundelsen kan eksempelvis være, at der ikke er mangel på praktikpladser </w:t>
      </w:r>
      <w:r w:rsidR="00853FC5" w:rsidRPr="00E62DB8">
        <w:rPr>
          <w:rFonts w:ascii="Arial" w:hAnsi="Arial" w:cs="Arial"/>
          <w:sz w:val="20"/>
          <w:szCs w:val="20"/>
        </w:rPr>
        <w:t>inden for</w:t>
      </w:r>
      <w:r w:rsidRPr="00E62DB8">
        <w:rPr>
          <w:rFonts w:ascii="Arial" w:hAnsi="Arial" w:cs="Arial"/>
          <w:sz w:val="20"/>
          <w:szCs w:val="20"/>
        </w:rPr>
        <w:t xml:space="preserve"> relevante uddannelsesområder i relation til kontrakten. Begrundelsen kan også være, at det ville stride mod EU-reglerne at stille krav om beskæftigelse af praktikanter, for eksempel fordi et krav herom ville være uproportionalt.</w:t>
      </w:r>
    </w:p>
    <w:p w:rsidR="00C41101" w:rsidRPr="00E62DB8" w:rsidRDefault="00C41101" w:rsidP="00C41101">
      <w:pPr>
        <w:rPr>
          <w:rFonts w:ascii="Arial" w:hAnsi="Arial" w:cs="Arial"/>
          <w:sz w:val="20"/>
          <w:szCs w:val="20"/>
        </w:rPr>
      </w:pPr>
    </w:p>
    <w:p w:rsidR="00C41101" w:rsidRPr="00E62DB8" w:rsidRDefault="00C41101" w:rsidP="00C41101">
      <w:pPr>
        <w:rPr>
          <w:rFonts w:ascii="Arial" w:hAnsi="Arial" w:cs="Arial"/>
          <w:sz w:val="20"/>
          <w:szCs w:val="20"/>
        </w:rPr>
      </w:pPr>
      <w:r w:rsidRPr="00E62DB8">
        <w:rPr>
          <w:rFonts w:ascii="Arial" w:hAnsi="Arial" w:cs="Arial"/>
          <w:sz w:val="20"/>
          <w:szCs w:val="20"/>
        </w:rPr>
        <w:t xml:space="preserve">Begrundelsen skal offentliggøres på regionens hjemmeside sammen med offentliggørelse af oplysninger om </w:t>
      </w:r>
      <w:r w:rsidR="00853FC5" w:rsidRPr="00E62DB8">
        <w:rPr>
          <w:rFonts w:ascii="Arial" w:hAnsi="Arial" w:cs="Arial"/>
          <w:sz w:val="20"/>
          <w:szCs w:val="20"/>
        </w:rPr>
        <w:t>udbuddet</w:t>
      </w:r>
      <w:r w:rsidRPr="00E62DB8">
        <w:rPr>
          <w:rFonts w:ascii="Arial" w:hAnsi="Arial" w:cs="Arial"/>
          <w:sz w:val="20"/>
          <w:szCs w:val="20"/>
        </w:rPr>
        <w:t xml:space="preserve"> i øvrigt på regionens hjemmeside.</w:t>
      </w:r>
    </w:p>
    <w:p w:rsidR="00C41101" w:rsidRPr="00E62DB8" w:rsidRDefault="00C41101" w:rsidP="00C41101">
      <w:pPr>
        <w:rPr>
          <w:rFonts w:ascii="Arial" w:hAnsi="Arial" w:cs="Arial"/>
          <w:sz w:val="20"/>
          <w:szCs w:val="20"/>
        </w:rPr>
      </w:pPr>
    </w:p>
    <w:p w:rsidR="00C41101" w:rsidRPr="00E62DB8" w:rsidRDefault="00C41101" w:rsidP="00C41101">
      <w:pPr>
        <w:rPr>
          <w:rFonts w:ascii="Arial" w:hAnsi="Arial" w:cs="Arial"/>
          <w:sz w:val="20"/>
          <w:szCs w:val="20"/>
        </w:rPr>
      </w:pPr>
      <w:r w:rsidRPr="00E62DB8">
        <w:rPr>
          <w:rFonts w:ascii="Arial" w:hAnsi="Arial" w:cs="Arial"/>
          <w:sz w:val="20"/>
          <w:szCs w:val="20"/>
        </w:rPr>
        <w:t>Der kan supplerende henvises til vejledning fra Konkurrence- og Forbrugerstyrelsen, december 2018:</w:t>
      </w:r>
    </w:p>
    <w:p w:rsidR="00C41101" w:rsidRPr="00E62DB8" w:rsidRDefault="00C41101" w:rsidP="00C41101">
      <w:pPr>
        <w:rPr>
          <w:rFonts w:ascii="Arial" w:hAnsi="Arial" w:cs="Arial"/>
          <w:sz w:val="22"/>
          <w:szCs w:val="22"/>
        </w:rPr>
      </w:pPr>
    </w:p>
    <w:p w:rsidR="00C41101" w:rsidRPr="00E62DB8" w:rsidRDefault="00C41101" w:rsidP="00C41101">
      <w:pPr>
        <w:rPr>
          <w:rFonts w:ascii="Arial" w:hAnsi="Arial" w:cs="Arial"/>
          <w:sz w:val="20"/>
          <w:szCs w:val="20"/>
        </w:rPr>
      </w:pPr>
      <w:hyperlink r:id="rId5" w:history="1">
        <w:r w:rsidRPr="00E62DB8">
          <w:rPr>
            <w:rStyle w:val="Hyperlink"/>
            <w:rFonts w:ascii="Arial" w:hAnsi="Arial" w:cs="Arial"/>
            <w:sz w:val="20"/>
            <w:szCs w:val="20"/>
          </w:rPr>
          <w:t>https://www.kfst.dk/nyheder/kfst/ok-nyheder/2018/20181219-ny-udgave-af-vejledning-om-sociale-klausuler-i-udbud/</w:t>
        </w:r>
      </w:hyperlink>
    </w:p>
    <w:p w:rsidR="00C41101" w:rsidRPr="00E62DB8" w:rsidRDefault="00C41101" w:rsidP="00C41101">
      <w:pPr>
        <w:rPr>
          <w:rFonts w:ascii="Arial" w:hAnsi="Arial" w:cs="Arial"/>
          <w:sz w:val="22"/>
          <w:szCs w:val="22"/>
        </w:rPr>
      </w:pPr>
    </w:p>
    <w:p w:rsidR="00C41101" w:rsidRPr="00E62DB8" w:rsidRDefault="00C41101" w:rsidP="00C41101">
      <w:pPr>
        <w:rPr>
          <w:rFonts w:ascii="Arial" w:hAnsi="Arial" w:cs="Arial"/>
          <w:sz w:val="20"/>
        </w:rPr>
      </w:pPr>
      <w:r w:rsidRPr="00E62DB8">
        <w:rPr>
          <w:rFonts w:ascii="Arial" w:hAnsi="Arial" w:cs="Arial"/>
          <w:sz w:val="20"/>
        </w:rPr>
        <w:t xml:space="preserve">For at finde et rimeligt niveau for kravet, skal rådgiveren, på baggrund af denne vejledning, foretage et skøn over hvor mange % af de årsværk, der anvendes til at opfylde kontrakten, som skal udgøres af praktikanter. </w:t>
      </w:r>
    </w:p>
    <w:p w:rsidR="00C41101" w:rsidRPr="00E62DB8" w:rsidRDefault="00C41101" w:rsidP="00C41101">
      <w:pPr>
        <w:pStyle w:val="TypografiOverskrift1IkkeFed"/>
        <w:numPr>
          <w:ilvl w:val="0"/>
          <w:numId w:val="0"/>
        </w:numPr>
        <w:tabs>
          <w:tab w:val="left" w:pos="1304"/>
        </w:tabs>
        <w:spacing w:line="240" w:lineRule="auto"/>
        <w:rPr>
          <w:rFonts w:cs="Arial"/>
          <w:i/>
        </w:rPr>
      </w:pPr>
    </w:p>
    <w:p w:rsidR="00C41101" w:rsidRPr="00E62DB8" w:rsidRDefault="00C41101" w:rsidP="00C41101">
      <w:pPr>
        <w:rPr>
          <w:rFonts w:ascii="Arial" w:hAnsi="Arial" w:cs="Arial"/>
          <w:sz w:val="20"/>
        </w:rPr>
      </w:pPr>
      <w:r w:rsidRPr="00E62DB8">
        <w:rPr>
          <w:rFonts w:ascii="Arial" w:hAnsi="Arial" w:cs="Arial"/>
          <w:sz w:val="20"/>
          <w:szCs w:val="20"/>
        </w:rPr>
        <w:t xml:space="preserve">Sociale klausuler med praktik- og uddannelseskrav </w:t>
      </w:r>
      <w:r w:rsidRPr="00E62DB8">
        <w:rPr>
          <w:rFonts w:ascii="Arial" w:hAnsi="Arial" w:cs="Arial"/>
          <w:sz w:val="20"/>
        </w:rPr>
        <w:t xml:space="preserve">skal ikke anvendes ved indgåelse af kontrakter efter rammeaftaler og udbud af varer. </w:t>
      </w:r>
    </w:p>
    <w:p w:rsidR="00C41101" w:rsidRPr="00E62DB8" w:rsidRDefault="00C41101" w:rsidP="00C41101">
      <w:pPr>
        <w:pStyle w:val="TypografiOverskrift1IkkeFed"/>
        <w:numPr>
          <w:ilvl w:val="0"/>
          <w:numId w:val="0"/>
        </w:numPr>
        <w:tabs>
          <w:tab w:val="left" w:pos="1304"/>
        </w:tabs>
        <w:spacing w:line="240" w:lineRule="auto"/>
        <w:rPr>
          <w:rFonts w:cs="Arial"/>
        </w:rPr>
      </w:pPr>
    </w:p>
    <w:p w:rsidR="00C41101" w:rsidRPr="00E62DB8" w:rsidRDefault="00C41101" w:rsidP="00C41101">
      <w:pPr>
        <w:pStyle w:val="TypografiOverskrift1IkkeFed"/>
        <w:numPr>
          <w:ilvl w:val="0"/>
          <w:numId w:val="0"/>
        </w:numPr>
        <w:tabs>
          <w:tab w:val="left" w:pos="1304"/>
        </w:tabs>
        <w:spacing w:line="240" w:lineRule="auto"/>
        <w:rPr>
          <w:rFonts w:cs="Arial"/>
        </w:rPr>
      </w:pPr>
      <w:r w:rsidRPr="00E62DB8">
        <w:rPr>
          <w:rFonts w:cs="Arial"/>
        </w:rPr>
        <w:lastRenderedPageBreak/>
        <w:t>Efterfølgende beskrevne opgaver påhviler rådgiveren, jf. rådgiveraftalen:</w:t>
      </w:r>
    </w:p>
    <w:p w:rsidR="00C41101" w:rsidRPr="00E62DB8" w:rsidRDefault="00C41101" w:rsidP="00C41101">
      <w:pPr>
        <w:pStyle w:val="TypografiOverskrift1IkkeFed"/>
        <w:numPr>
          <w:ilvl w:val="0"/>
          <w:numId w:val="0"/>
        </w:numPr>
        <w:tabs>
          <w:tab w:val="left" w:pos="1304"/>
        </w:tabs>
        <w:spacing w:line="240" w:lineRule="auto"/>
        <w:rPr>
          <w:rFonts w:cs="Arial"/>
          <w:i/>
        </w:rPr>
      </w:pPr>
    </w:p>
    <w:p w:rsidR="00C41101" w:rsidRPr="00E62DB8" w:rsidRDefault="00C41101" w:rsidP="00C41101">
      <w:pPr>
        <w:pStyle w:val="TypografiOverskrift1IkkeFed"/>
        <w:numPr>
          <w:ilvl w:val="0"/>
          <w:numId w:val="0"/>
        </w:numPr>
        <w:tabs>
          <w:tab w:val="left" w:pos="1304"/>
        </w:tabs>
        <w:spacing w:line="240" w:lineRule="auto"/>
        <w:rPr>
          <w:rFonts w:cs="Arial"/>
          <w:b/>
        </w:rPr>
      </w:pPr>
    </w:p>
    <w:p w:rsidR="00C41101" w:rsidRPr="00E62DB8" w:rsidRDefault="00C41101" w:rsidP="00C41101">
      <w:pPr>
        <w:pStyle w:val="TypografiOverskrift1IkkeFed"/>
        <w:numPr>
          <w:ilvl w:val="0"/>
          <w:numId w:val="0"/>
        </w:numPr>
        <w:tabs>
          <w:tab w:val="left" w:pos="1304"/>
        </w:tabs>
        <w:spacing w:line="240" w:lineRule="auto"/>
        <w:rPr>
          <w:rFonts w:cs="Arial"/>
          <w:b/>
        </w:rPr>
      </w:pPr>
    </w:p>
    <w:p w:rsidR="00C41101" w:rsidRPr="00E62DB8" w:rsidRDefault="00C41101" w:rsidP="00E62DB8">
      <w:pPr>
        <w:pStyle w:val="Overskrift3"/>
        <w:rPr>
          <w:rFonts w:ascii="Arial" w:hAnsi="Arial" w:cs="Arial"/>
        </w:rPr>
      </w:pPr>
      <w:r w:rsidRPr="00E62DB8">
        <w:rPr>
          <w:rFonts w:ascii="Arial" w:hAnsi="Arial" w:cs="Arial"/>
        </w:rPr>
        <w:t>Afgrænsning</w:t>
      </w:r>
    </w:p>
    <w:p w:rsidR="00C41101" w:rsidRPr="00E62DB8" w:rsidRDefault="00C41101" w:rsidP="00C41101">
      <w:pPr>
        <w:pStyle w:val="TypografiOverskrift1IkkeFed"/>
        <w:numPr>
          <w:ilvl w:val="0"/>
          <w:numId w:val="0"/>
        </w:numPr>
        <w:tabs>
          <w:tab w:val="left" w:pos="1304"/>
        </w:tabs>
        <w:spacing w:line="240" w:lineRule="auto"/>
        <w:rPr>
          <w:rFonts w:cs="Arial"/>
        </w:rPr>
      </w:pPr>
      <w:r w:rsidRPr="00E62DB8">
        <w:rPr>
          <w:rFonts w:cs="Arial"/>
        </w:rPr>
        <w:t>Reglerne omfatter alene udførende fag og de tilknyttede rådgiverydelser.</w:t>
      </w:r>
    </w:p>
    <w:p w:rsidR="00C41101" w:rsidRPr="00E62DB8" w:rsidRDefault="00C41101" w:rsidP="00C41101">
      <w:pPr>
        <w:pStyle w:val="TypografiOverskrift1IkkeFed"/>
        <w:numPr>
          <w:ilvl w:val="0"/>
          <w:numId w:val="0"/>
        </w:numPr>
        <w:tabs>
          <w:tab w:val="left" w:pos="1304"/>
        </w:tabs>
        <w:spacing w:line="240" w:lineRule="auto"/>
        <w:rPr>
          <w:rFonts w:cs="Arial"/>
        </w:rPr>
      </w:pPr>
    </w:p>
    <w:p w:rsidR="00C41101" w:rsidRPr="00E62DB8" w:rsidRDefault="00C41101" w:rsidP="00C41101">
      <w:pPr>
        <w:pStyle w:val="TypografiOverskrift1IkkeFed"/>
        <w:numPr>
          <w:ilvl w:val="0"/>
          <w:numId w:val="0"/>
        </w:numPr>
        <w:tabs>
          <w:tab w:val="left" w:pos="1304"/>
        </w:tabs>
        <w:spacing w:line="240" w:lineRule="auto"/>
        <w:rPr>
          <w:rFonts w:cs="Arial"/>
        </w:rPr>
      </w:pPr>
      <w:r w:rsidRPr="00E62DB8">
        <w:rPr>
          <w:rFonts w:cs="Arial"/>
        </w:rPr>
        <w:t>Reglerne omfatter alene ydelser tilknyttet udførelsen og forberedelse heraf på entreprenørens adresse eller midlertidige arbejdssteder, men ikke leverancer, herunder eksempelvis betonelementer, ventilationsaggregater og bygningsmaterialer, der indkøbes eller produceres på fabrik, uanset om dette sker i Danmark eller i udlandet.</w:t>
      </w:r>
    </w:p>
    <w:p w:rsidR="00C41101" w:rsidRPr="00E62DB8" w:rsidRDefault="00C41101" w:rsidP="00C41101">
      <w:pPr>
        <w:pStyle w:val="TypografiOverskrift1IkkeFed"/>
        <w:numPr>
          <w:ilvl w:val="0"/>
          <w:numId w:val="0"/>
        </w:numPr>
        <w:tabs>
          <w:tab w:val="left" w:pos="1304"/>
        </w:tabs>
        <w:spacing w:line="240" w:lineRule="auto"/>
        <w:rPr>
          <w:rFonts w:cs="Arial"/>
          <w:i/>
        </w:rPr>
      </w:pPr>
    </w:p>
    <w:p w:rsidR="00C41101" w:rsidRPr="00E62DB8" w:rsidRDefault="00C41101" w:rsidP="00C41101">
      <w:pPr>
        <w:pStyle w:val="TypografiOverskrift1IkkeFed"/>
        <w:numPr>
          <w:ilvl w:val="0"/>
          <w:numId w:val="0"/>
        </w:numPr>
        <w:tabs>
          <w:tab w:val="left" w:pos="1304"/>
        </w:tabs>
        <w:spacing w:line="240" w:lineRule="auto"/>
        <w:rPr>
          <w:rFonts w:cs="Arial"/>
        </w:rPr>
      </w:pPr>
      <w:r w:rsidRPr="00E62DB8">
        <w:rPr>
          <w:rFonts w:cs="Arial"/>
        </w:rPr>
        <w:t xml:space="preserve">Alle erhvervsuddannelser tilknyttet de udførende fag betragtes som relevante, idet potentialet i relation til følgende </w:t>
      </w:r>
      <w:r w:rsidR="00853FC5" w:rsidRPr="00E62DB8">
        <w:rPr>
          <w:rFonts w:cs="Arial"/>
        </w:rPr>
        <w:t>uddannelser</w:t>
      </w:r>
      <w:r w:rsidRPr="00E62DB8">
        <w:rPr>
          <w:rFonts w:cs="Arial"/>
        </w:rPr>
        <w:t xml:space="preserve"> vurderes at være størst:</w:t>
      </w:r>
    </w:p>
    <w:p w:rsidR="00C41101" w:rsidRPr="00E62DB8" w:rsidRDefault="00C41101" w:rsidP="00C41101">
      <w:pPr>
        <w:pStyle w:val="TypografiOverskrift1IkkeFed"/>
        <w:numPr>
          <w:ilvl w:val="0"/>
          <w:numId w:val="0"/>
        </w:numPr>
        <w:tabs>
          <w:tab w:val="left" w:pos="1304"/>
        </w:tabs>
        <w:spacing w:line="240" w:lineRule="auto"/>
        <w:rPr>
          <w:rFonts w:cs="Arial"/>
        </w:rPr>
      </w:pPr>
    </w:p>
    <w:p w:rsidR="00C41101" w:rsidRPr="00E62DB8" w:rsidRDefault="00C41101" w:rsidP="00C41101">
      <w:pPr>
        <w:pStyle w:val="TypografiOverskrift1IkkeFed"/>
        <w:numPr>
          <w:ilvl w:val="0"/>
          <w:numId w:val="3"/>
        </w:numPr>
        <w:spacing w:line="240" w:lineRule="auto"/>
        <w:rPr>
          <w:rFonts w:cs="Arial"/>
        </w:rPr>
      </w:pPr>
      <w:r w:rsidRPr="00E62DB8">
        <w:rPr>
          <w:rFonts w:cs="Arial"/>
        </w:rPr>
        <w:t>Snedker</w:t>
      </w:r>
    </w:p>
    <w:p w:rsidR="00C41101" w:rsidRPr="00E62DB8" w:rsidRDefault="00C41101" w:rsidP="00C41101">
      <w:pPr>
        <w:pStyle w:val="TypografiOverskrift1IkkeFed"/>
        <w:numPr>
          <w:ilvl w:val="0"/>
          <w:numId w:val="3"/>
        </w:numPr>
        <w:spacing w:line="240" w:lineRule="auto"/>
        <w:rPr>
          <w:rFonts w:cs="Arial"/>
        </w:rPr>
      </w:pPr>
      <w:r w:rsidRPr="00E62DB8">
        <w:rPr>
          <w:rFonts w:cs="Arial"/>
        </w:rPr>
        <w:t>Tømrer</w:t>
      </w:r>
    </w:p>
    <w:p w:rsidR="00C41101" w:rsidRPr="00E62DB8" w:rsidRDefault="00C41101" w:rsidP="00C41101">
      <w:pPr>
        <w:pStyle w:val="TypografiOverskrift1IkkeFed"/>
        <w:numPr>
          <w:ilvl w:val="0"/>
          <w:numId w:val="3"/>
        </w:numPr>
        <w:spacing w:line="240" w:lineRule="auto"/>
        <w:rPr>
          <w:rFonts w:cs="Arial"/>
        </w:rPr>
      </w:pPr>
      <w:r w:rsidRPr="00E62DB8">
        <w:rPr>
          <w:rFonts w:cs="Arial"/>
        </w:rPr>
        <w:t>Gulvlægger</w:t>
      </w:r>
    </w:p>
    <w:p w:rsidR="00C41101" w:rsidRPr="00E62DB8" w:rsidRDefault="00C41101" w:rsidP="00C41101">
      <w:pPr>
        <w:pStyle w:val="TypografiOverskrift1IkkeFed"/>
        <w:numPr>
          <w:ilvl w:val="0"/>
          <w:numId w:val="3"/>
        </w:numPr>
        <w:spacing w:line="240" w:lineRule="auto"/>
        <w:rPr>
          <w:rFonts w:cs="Arial"/>
        </w:rPr>
      </w:pPr>
      <w:r w:rsidRPr="00E62DB8">
        <w:rPr>
          <w:rFonts w:cs="Arial"/>
        </w:rPr>
        <w:t>Vvs</w:t>
      </w:r>
    </w:p>
    <w:p w:rsidR="00C41101" w:rsidRPr="00E62DB8" w:rsidRDefault="00C41101" w:rsidP="00C41101">
      <w:pPr>
        <w:pStyle w:val="TypografiOverskrift1IkkeFed"/>
        <w:numPr>
          <w:ilvl w:val="0"/>
          <w:numId w:val="3"/>
        </w:numPr>
        <w:spacing w:line="240" w:lineRule="auto"/>
        <w:rPr>
          <w:rFonts w:cs="Arial"/>
        </w:rPr>
      </w:pPr>
      <w:r w:rsidRPr="00E62DB8">
        <w:rPr>
          <w:rFonts w:cs="Arial"/>
        </w:rPr>
        <w:t>Elektriker</w:t>
      </w:r>
    </w:p>
    <w:p w:rsidR="00C41101" w:rsidRPr="00E62DB8" w:rsidRDefault="00C41101" w:rsidP="00C41101">
      <w:pPr>
        <w:pStyle w:val="TypografiOverskrift1IkkeFed"/>
        <w:numPr>
          <w:ilvl w:val="0"/>
          <w:numId w:val="3"/>
        </w:numPr>
        <w:spacing w:line="240" w:lineRule="auto"/>
        <w:rPr>
          <w:rFonts w:cs="Arial"/>
        </w:rPr>
      </w:pPr>
      <w:r w:rsidRPr="00E62DB8">
        <w:rPr>
          <w:rFonts w:cs="Arial"/>
        </w:rPr>
        <w:t>Faguddannet anlægsgartner / planteskoleuddannet gartner</w:t>
      </w:r>
    </w:p>
    <w:p w:rsidR="00C41101" w:rsidRPr="00E62DB8" w:rsidRDefault="00C41101" w:rsidP="00C41101">
      <w:pPr>
        <w:pStyle w:val="TypografiOverskrift1IkkeFed"/>
        <w:numPr>
          <w:ilvl w:val="0"/>
          <w:numId w:val="3"/>
        </w:numPr>
        <w:spacing w:line="240" w:lineRule="auto"/>
        <w:rPr>
          <w:rFonts w:cs="Arial"/>
        </w:rPr>
      </w:pPr>
      <w:r w:rsidRPr="00E62DB8">
        <w:rPr>
          <w:rFonts w:cs="Arial"/>
        </w:rPr>
        <w:t>Smed</w:t>
      </w:r>
    </w:p>
    <w:p w:rsidR="00C41101" w:rsidRPr="00E62DB8" w:rsidRDefault="00C41101" w:rsidP="00C41101">
      <w:pPr>
        <w:pStyle w:val="TypografiOverskrift1IkkeFed"/>
        <w:numPr>
          <w:ilvl w:val="0"/>
          <w:numId w:val="3"/>
        </w:numPr>
        <w:spacing w:line="240" w:lineRule="auto"/>
        <w:rPr>
          <w:rFonts w:cs="Arial"/>
        </w:rPr>
      </w:pPr>
      <w:r w:rsidRPr="00E62DB8">
        <w:rPr>
          <w:rFonts w:cs="Arial"/>
        </w:rPr>
        <w:t>Murer</w:t>
      </w:r>
    </w:p>
    <w:p w:rsidR="00C41101" w:rsidRPr="00E62DB8" w:rsidRDefault="00C41101" w:rsidP="00C41101">
      <w:pPr>
        <w:pStyle w:val="TypografiOverskrift1IkkeFed"/>
        <w:numPr>
          <w:ilvl w:val="0"/>
          <w:numId w:val="3"/>
        </w:numPr>
        <w:spacing w:line="240" w:lineRule="auto"/>
        <w:rPr>
          <w:rFonts w:cs="Arial"/>
        </w:rPr>
      </w:pPr>
      <w:r w:rsidRPr="00E62DB8">
        <w:rPr>
          <w:rFonts w:cs="Arial"/>
        </w:rPr>
        <w:t>Maler</w:t>
      </w:r>
    </w:p>
    <w:p w:rsidR="00C41101" w:rsidRPr="00E62DB8" w:rsidRDefault="00C41101" w:rsidP="00C41101">
      <w:pPr>
        <w:pStyle w:val="TypografiOverskrift1IkkeFed"/>
        <w:numPr>
          <w:ilvl w:val="0"/>
          <w:numId w:val="3"/>
        </w:numPr>
        <w:spacing w:line="240" w:lineRule="auto"/>
        <w:rPr>
          <w:rFonts w:cs="Arial"/>
        </w:rPr>
      </w:pPr>
      <w:r w:rsidRPr="00E62DB8">
        <w:rPr>
          <w:rFonts w:cs="Arial"/>
        </w:rPr>
        <w:t>Anlægsstruktør og kloakrørlægger</w:t>
      </w:r>
    </w:p>
    <w:p w:rsidR="00C41101" w:rsidRPr="00E62DB8" w:rsidRDefault="00C41101" w:rsidP="00C41101">
      <w:pPr>
        <w:pStyle w:val="TypografiOverskrift1IkkeFed"/>
        <w:numPr>
          <w:ilvl w:val="0"/>
          <w:numId w:val="3"/>
        </w:numPr>
        <w:spacing w:line="240" w:lineRule="auto"/>
        <w:rPr>
          <w:rFonts w:cs="Arial"/>
        </w:rPr>
      </w:pPr>
      <w:r w:rsidRPr="00E62DB8">
        <w:rPr>
          <w:rFonts w:cs="Arial"/>
        </w:rPr>
        <w:t>Brolægger og kloakrørlægger</w:t>
      </w:r>
    </w:p>
    <w:p w:rsidR="00C41101" w:rsidRPr="00E62DB8" w:rsidRDefault="00C41101" w:rsidP="00C41101">
      <w:pPr>
        <w:pStyle w:val="TypografiOverskrift1IkkeFed"/>
        <w:numPr>
          <w:ilvl w:val="0"/>
          <w:numId w:val="3"/>
        </w:numPr>
        <w:spacing w:line="240" w:lineRule="auto"/>
        <w:rPr>
          <w:rFonts w:cs="Arial"/>
        </w:rPr>
      </w:pPr>
      <w:r w:rsidRPr="00E62DB8">
        <w:rPr>
          <w:rFonts w:cs="Arial"/>
        </w:rPr>
        <w:t>Bygningsstruktør og kloakrørlægger</w:t>
      </w:r>
    </w:p>
    <w:p w:rsidR="00C41101" w:rsidRPr="00E62DB8" w:rsidRDefault="00C41101" w:rsidP="00C41101">
      <w:pPr>
        <w:pStyle w:val="TypografiOverskrift1IkkeFed"/>
        <w:numPr>
          <w:ilvl w:val="0"/>
          <w:numId w:val="0"/>
        </w:numPr>
        <w:tabs>
          <w:tab w:val="left" w:pos="1304"/>
        </w:tabs>
        <w:spacing w:line="240" w:lineRule="auto"/>
        <w:ind w:left="397"/>
        <w:rPr>
          <w:rFonts w:cs="Arial"/>
        </w:rPr>
      </w:pPr>
    </w:p>
    <w:p w:rsidR="00C41101" w:rsidRPr="00E62DB8" w:rsidRDefault="00C41101" w:rsidP="00C41101">
      <w:pPr>
        <w:pStyle w:val="TypografiOverskrift1IkkeFed"/>
        <w:numPr>
          <w:ilvl w:val="0"/>
          <w:numId w:val="0"/>
        </w:numPr>
        <w:tabs>
          <w:tab w:val="left" w:pos="1304"/>
        </w:tabs>
        <w:spacing w:line="240" w:lineRule="auto"/>
        <w:rPr>
          <w:rFonts w:cs="Arial"/>
        </w:rPr>
      </w:pPr>
      <w:r w:rsidRPr="00E62DB8">
        <w:rPr>
          <w:rFonts w:cs="Arial"/>
        </w:rPr>
        <w:t>Kravene i den konkrete aftale skal være rimelige i forhold til den opgave, der udføres. Der må således ikke stilles krav om beskæftigelse af et forholdsvis større antal praktikanter, end der sædvanligvis er mulighed for at beskæftige på opgaven. Tilsvarende kan kravet frafaldes eksempelvis for opgaver eller delopgaver, der kræver specialistviden, og dermed ikke hensigtsmæssigt muliggør beskæftigelse af praktikanter.</w:t>
      </w:r>
    </w:p>
    <w:p w:rsidR="00C41101" w:rsidRPr="00E62DB8" w:rsidRDefault="00C41101" w:rsidP="00C41101">
      <w:pPr>
        <w:pStyle w:val="TypografiOverskrift1IkkeFed"/>
        <w:numPr>
          <w:ilvl w:val="0"/>
          <w:numId w:val="0"/>
        </w:numPr>
        <w:tabs>
          <w:tab w:val="left" w:pos="1304"/>
        </w:tabs>
        <w:spacing w:line="240" w:lineRule="auto"/>
        <w:rPr>
          <w:rFonts w:cs="Arial"/>
          <w:i/>
        </w:rPr>
      </w:pPr>
    </w:p>
    <w:p w:rsidR="00C41101" w:rsidRPr="00E62DB8" w:rsidRDefault="00C41101" w:rsidP="00C41101">
      <w:pPr>
        <w:pStyle w:val="TypografiOverskrift1IkkeFed"/>
        <w:numPr>
          <w:ilvl w:val="0"/>
          <w:numId w:val="0"/>
        </w:numPr>
        <w:tabs>
          <w:tab w:val="left" w:pos="1304"/>
        </w:tabs>
        <w:spacing w:line="240" w:lineRule="auto"/>
        <w:rPr>
          <w:rFonts w:cs="Arial"/>
        </w:rPr>
      </w:pPr>
      <w:r w:rsidRPr="00E62DB8">
        <w:rPr>
          <w:rFonts w:cs="Arial"/>
        </w:rPr>
        <w:t>På samme måde vil opgavens organisering have betydning for potentialet og skal indgå i vurderingen. Eksempelvis kan udbud i hovedentreprise give bedre mulighed for at beskæftige praktikanter end udbud i en række mindre fagentrepriser. Potentialet skal således vurderes i forhold til den foreslåede aftalestruktur. Hovedentrepriser vurderes samlet, hvorimod fagentrepriser skal vurderes enkeltvist.</w:t>
      </w:r>
    </w:p>
    <w:p w:rsidR="00C41101" w:rsidRPr="00E62DB8" w:rsidRDefault="00C41101" w:rsidP="00C41101">
      <w:pPr>
        <w:pStyle w:val="TypografiOverskrift1IkkeFed"/>
        <w:numPr>
          <w:ilvl w:val="0"/>
          <w:numId w:val="0"/>
        </w:numPr>
        <w:tabs>
          <w:tab w:val="left" w:pos="1304"/>
        </w:tabs>
        <w:spacing w:line="240" w:lineRule="auto"/>
        <w:rPr>
          <w:rFonts w:cs="Arial"/>
          <w:i/>
        </w:rPr>
      </w:pPr>
    </w:p>
    <w:p w:rsidR="00C41101" w:rsidRPr="00E62DB8" w:rsidRDefault="00C41101" w:rsidP="00C41101">
      <w:pPr>
        <w:pStyle w:val="TypografiOverskrift1IkkeFed"/>
        <w:numPr>
          <w:ilvl w:val="0"/>
          <w:numId w:val="0"/>
        </w:numPr>
        <w:tabs>
          <w:tab w:val="left" w:pos="1304"/>
        </w:tabs>
        <w:spacing w:line="240" w:lineRule="auto"/>
        <w:rPr>
          <w:rFonts w:cs="Arial"/>
        </w:rPr>
      </w:pPr>
      <w:r w:rsidRPr="00E62DB8">
        <w:rPr>
          <w:rFonts w:cs="Arial"/>
        </w:rPr>
        <w:t>Der skal således for hver opgave og kontrakt anlægges et konkret skøn på baggrund af andelen af fagrelevant arbejde og opgavens organisering.</w:t>
      </w:r>
    </w:p>
    <w:p w:rsidR="00C41101" w:rsidRPr="00E62DB8" w:rsidRDefault="00C41101" w:rsidP="00C41101">
      <w:pPr>
        <w:pStyle w:val="TypografiOverskrift1IkkeFed"/>
        <w:numPr>
          <w:ilvl w:val="0"/>
          <w:numId w:val="0"/>
        </w:numPr>
        <w:tabs>
          <w:tab w:val="left" w:pos="1304"/>
        </w:tabs>
        <w:spacing w:line="240" w:lineRule="auto"/>
        <w:rPr>
          <w:rFonts w:cs="Arial"/>
          <w:i/>
        </w:rPr>
      </w:pPr>
    </w:p>
    <w:p w:rsidR="00C41101" w:rsidRPr="00E62DB8" w:rsidRDefault="00C41101" w:rsidP="00C41101">
      <w:pPr>
        <w:pStyle w:val="TypografiOverskrift1IkkeFed"/>
        <w:numPr>
          <w:ilvl w:val="0"/>
          <w:numId w:val="0"/>
        </w:numPr>
        <w:tabs>
          <w:tab w:val="left" w:pos="1304"/>
        </w:tabs>
        <w:spacing w:line="240" w:lineRule="auto"/>
        <w:rPr>
          <w:rFonts w:cs="Arial"/>
        </w:rPr>
      </w:pPr>
      <w:r w:rsidRPr="00E62DB8">
        <w:rPr>
          <w:rFonts w:cs="Arial"/>
        </w:rPr>
        <w:t>For hver entreprise angives den skønnede lønudgift til faglærte, og på baggrund heraf vurderes potentialet for praktikanter med udgangspunkt i, at det normalt vil være muligt at beskæftige 5 - 10 % praktikanter ud af det samlede timetal for faglærte.</w:t>
      </w:r>
    </w:p>
    <w:p w:rsidR="00C41101" w:rsidRPr="00E62DB8" w:rsidRDefault="00C41101" w:rsidP="00C41101">
      <w:pPr>
        <w:pStyle w:val="TypografiOverskrift1IkkeFed"/>
        <w:numPr>
          <w:ilvl w:val="0"/>
          <w:numId w:val="0"/>
        </w:numPr>
        <w:tabs>
          <w:tab w:val="left" w:pos="1304"/>
        </w:tabs>
        <w:spacing w:line="240" w:lineRule="auto"/>
        <w:rPr>
          <w:rFonts w:cs="Arial"/>
        </w:rPr>
      </w:pPr>
    </w:p>
    <w:p w:rsidR="00C41101" w:rsidRPr="00E62DB8" w:rsidRDefault="00C41101" w:rsidP="00C41101">
      <w:pPr>
        <w:pStyle w:val="TypografiOverskrift1IkkeFed"/>
        <w:numPr>
          <w:ilvl w:val="0"/>
          <w:numId w:val="0"/>
        </w:numPr>
        <w:tabs>
          <w:tab w:val="left" w:pos="1304"/>
        </w:tabs>
        <w:spacing w:line="240" w:lineRule="auto"/>
        <w:rPr>
          <w:rFonts w:cs="Arial"/>
        </w:rPr>
      </w:pPr>
      <w:r w:rsidRPr="00E62DB8">
        <w:rPr>
          <w:rFonts w:cs="Arial"/>
        </w:rPr>
        <w:t>Vurderingen skal ledsages af rådgiverens kommentarer, herunder hvilke arbejder der er opgjort i skønnet, ligesom evt. fagopdelte kalkulationer vedlægges. Vurderingen udarbejdes for så vidt angår hoved-, stor- og fagentrepriser i forbindelse med projektforslaget / projekteringsfasen. Ved udbud i totalentreprise udarbejdes vurderingen i forbindelse med udarbejdelse af udbudsmaterialet til totalentrepriseudbuddet.</w:t>
      </w:r>
    </w:p>
    <w:p w:rsidR="00C41101" w:rsidRPr="00E62DB8" w:rsidRDefault="00C41101" w:rsidP="00C41101">
      <w:pPr>
        <w:pStyle w:val="TypografiOverskrift1IkkeFed"/>
        <w:numPr>
          <w:ilvl w:val="0"/>
          <w:numId w:val="0"/>
        </w:numPr>
        <w:tabs>
          <w:tab w:val="left" w:pos="1304"/>
        </w:tabs>
        <w:spacing w:line="240" w:lineRule="auto"/>
        <w:rPr>
          <w:rFonts w:cs="Arial"/>
          <w:i/>
        </w:rPr>
      </w:pPr>
    </w:p>
    <w:p w:rsidR="00C41101" w:rsidRPr="00E62DB8" w:rsidRDefault="00C41101" w:rsidP="00C41101">
      <w:pPr>
        <w:pStyle w:val="TypografiOverskrift1IkkeFed"/>
        <w:numPr>
          <w:ilvl w:val="0"/>
          <w:numId w:val="0"/>
        </w:numPr>
        <w:tabs>
          <w:tab w:val="left" w:pos="1304"/>
        </w:tabs>
        <w:spacing w:line="240" w:lineRule="auto"/>
        <w:rPr>
          <w:rFonts w:cs="Arial"/>
        </w:rPr>
      </w:pPr>
      <w:r w:rsidRPr="00E62DB8">
        <w:rPr>
          <w:rFonts w:cs="Arial"/>
        </w:rPr>
        <w:t xml:space="preserve">Potentialet vurderes af bygherren i forbindelse med udbud, og det godkendte potentiale indarbejdes som krav i de respektive udbud. </w:t>
      </w:r>
    </w:p>
    <w:p w:rsidR="00C41101" w:rsidRPr="00E62DB8" w:rsidRDefault="00C41101" w:rsidP="00C41101">
      <w:pPr>
        <w:pStyle w:val="TypografiOverskrift1IkkeFed"/>
        <w:numPr>
          <w:ilvl w:val="0"/>
          <w:numId w:val="0"/>
        </w:numPr>
        <w:tabs>
          <w:tab w:val="left" w:pos="1304"/>
        </w:tabs>
        <w:spacing w:line="240" w:lineRule="auto"/>
        <w:rPr>
          <w:rFonts w:cs="Arial"/>
        </w:rPr>
      </w:pPr>
    </w:p>
    <w:p w:rsidR="00C41101" w:rsidRPr="00E62DB8" w:rsidRDefault="00C41101" w:rsidP="00C41101">
      <w:pPr>
        <w:pStyle w:val="TypografiOverskrift1IkkeFed"/>
        <w:numPr>
          <w:ilvl w:val="0"/>
          <w:numId w:val="0"/>
        </w:numPr>
        <w:tabs>
          <w:tab w:val="left" w:pos="1304"/>
        </w:tabs>
        <w:spacing w:line="240" w:lineRule="auto"/>
        <w:rPr>
          <w:rFonts w:cs="Arial"/>
        </w:rPr>
      </w:pPr>
      <w:r w:rsidRPr="00E62DB8">
        <w:rPr>
          <w:rFonts w:cs="Arial"/>
        </w:rPr>
        <w:t>Rådgiveren skal sikre, at kontraktklausuler med krav om beskæftigelse af 5 – 10 % praktikanter indgår som en del af udbudsmaterialet. Regionens paradigme for kontraktklausul skal benyttes.</w:t>
      </w:r>
    </w:p>
    <w:p w:rsidR="00C41101" w:rsidRPr="00E62DB8" w:rsidRDefault="00C41101" w:rsidP="00C41101">
      <w:pPr>
        <w:pStyle w:val="TypografiOverskrift1IkkeFed"/>
        <w:numPr>
          <w:ilvl w:val="0"/>
          <w:numId w:val="0"/>
        </w:numPr>
        <w:tabs>
          <w:tab w:val="left" w:pos="1304"/>
        </w:tabs>
        <w:spacing w:line="240" w:lineRule="auto"/>
        <w:rPr>
          <w:rFonts w:cs="Arial"/>
          <w:i/>
        </w:rPr>
      </w:pPr>
    </w:p>
    <w:p w:rsidR="00C41101" w:rsidRPr="00E62DB8" w:rsidRDefault="00C41101" w:rsidP="00C41101">
      <w:pPr>
        <w:pStyle w:val="TypografiOverskrift1IkkeFed"/>
        <w:numPr>
          <w:ilvl w:val="0"/>
          <w:numId w:val="0"/>
        </w:numPr>
        <w:tabs>
          <w:tab w:val="left" w:pos="1304"/>
        </w:tabs>
        <w:spacing w:line="240" w:lineRule="auto"/>
        <w:rPr>
          <w:rFonts w:cs="Arial"/>
          <w:b/>
        </w:rPr>
      </w:pPr>
    </w:p>
    <w:p w:rsidR="00C41101" w:rsidRPr="00E62DB8" w:rsidRDefault="00C41101" w:rsidP="00C41101">
      <w:pPr>
        <w:pStyle w:val="TypografiOverskrift1IkkeFed"/>
        <w:numPr>
          <w:ilvl w:val="0"/>
          <w:numId w:val="0"/>
        </w:numPr>
        <w:tabs>
          <w:tab w:val="left" w:pos="1304"/>
        </w:tabs>
        <w:spacing w:line="240" w:lineRule="auto"/>
        <w:rPr>
          <w:rFonts w:cs="Arial"/>
          <w:b/>
        </w:rPr>
      </w:pPr>
    </w:p>
    <w:p w:rsidR="00C41101" w:rsidRPr="00E62DB8" w:rsidRDefault="00C41101" w:rsidP="00E62DB8">
      <w:pPr>
        <w:pStyle w:val="Overskrift3"/>
        <w:rPr>
          <w:rFonts w:ascii="Arial" w:hAnsi="Arial" w:cs="Arial"/>
        </w:rPr>
      </w:pPr>
      <w:r w:rsidRPr="00E62DB8">
        <w:rPr>
          <w:rFonts w:ascii="Arial" w:hAnsi="Arial" w:cs="Arial"/>
        </w:rPr>
        <w:t>Opfølgning under udførelsen</w:t>
      </w:r>
    </w:p>
    <w:p w:rsidR="00C41101" w:rsidRPr="00E62DB8" w:rsidRDefault="00C41101" w:rsidP="00C41101">
      <w:pPr>
        <w:pStyle w:val="TypografiOverskrift1IkkeFed"/>
        <w:numPr>
          <w:ilvl w:val="0"/>
          <w:numId w:val="0"/>
        </w:numPr>
        <w:tabs>
          <w:tab w:val="left" w:pos="1304"/>
        </w:tabs>
        <w:spacing w:line="240" w:lineRule="auto"/>
        <w:rPr>
          <w:rFonts w:cs="Arial"/>
        </w:rPr>
      </w:pPr>
      <w:r w:rsidRPr="00E62DB8">
        <w:rPr>
          <w:rFonts w:cs="Arial"/>
        </w:rPr>
        <w:t>Rådgiveren skal sikre opfølgningen ved, at der på byggemøder medtages et punkt i referatet kaldet ”Bemanding”. Under punktet noterer byggelederen antallet af aktuelt beskæftigede praktikanter som en særskilt del af den samlede bemanding, og praktikanternes navn + efternavn tilføres.</w:t>
      </w:r>
    </w:p>
    <w:p w:rsidR="00C41101" w:rsidRPr="00E62DB8" w:rsidRDefault="00C41101" w:rsidP="00C41101">
      <w:pPr>
        <w:pStyle w:val="TypografiOverskrift1IkkeFed"/>
        <w:numPr>
          <w:ilvl w:val="0"/>
          <w:numId w:val="0"/>
        </w:numPr>
        <w:tabs>
          <w:tab w:val="left" w:pos="1304"/>
        </w:tabs>
        <w:spacing w:line="240" w:lineRule="auto"/>
        <w:rPr>
          <w:rFonts w:cs="Arial"/>
        </w:rPr>
      </w:pPr>
    </w:p>
    <w:p w:rsidR="00C41101" w:rsidRPr="00E62DB8" w:rsidRDefault="00C41101" w:rsidP="00C41101">
      <w:pPr>
        <w:pStyle w:val="TypografiOverskrift1IkkeFed"/>
        <w:numPr>
          <w:ilvl w:val="0"/>
          <w:numId w:val="0"/>
        </w:numPr>
        <w:tabs>
          <w:tab w:val="left" w:pos="1304"/>
        </w:tabs>
        <w:spacing w:line="240" w:lineRule="auto"/>
        <w:rPr>
          <w:rFonts w:cs="Arial"/>
        </w:rPr>
      </w:pPr>
      <w:r w:rsidRPr="00E62DB8">
        <w:rPr>
          <w:rFonts w:cs="Arial"/>
        </w:rPr>
        <w:t>Der henvises til vejledningen, der indgår som en del af ordlyden af regionens paradigmer for kontraktklausuler med praktik- og uddannelseskrav.</w:t>
      </w:r>
    </w:p>
    <w:p w:rsidR="00C41101" w:rsidRPr="00E62DB8" w:rsidRDefault="00C41101" w:rsidP="00C41101">
      <w:pPr>
        <w:pStyle w:val="TypografiOverskrift1IkkeFed"/>
        <w:numPr>
          <w:ilvl w:val="0"/>
          <w:numId w:val="0"/>
        </w:numPr>
        <w:tabs>
          <w:tab w:val="left" w:pos="1304"/>
        </w:tabs>
        <w:spacing w:line="240" w:lineRule="auto"/>
        <w:rPr>
          <w:rFonts w:cs="Arial"/>
          <w:b/>
        </w:rPr>
      </w:pPr>
    </w:p>
    <w:p w:rsidR="00C41101" w:rsidRPr="00E62DB8" w:rsidRDefault="00C41101" w:rsidP="00E62DB8">
      <w:pPr>
        <w:pStyle w:val="Overskrift3"/>
        <w:rPr>
          <w:rFonts w:ascii="Arial" w:hAnsi="Arial" w:cs="Arial"/>
        </w:rPr>
      </w:pPr>
      <w:r w:rsidRPr="00E62DB8">
        <w:rPr>
          <w:rFonts w:ascii="Arial" w:hAnsi="Arial" w:cs="Arial"/>
        </w:rPr>
        <w:t>Aflevering af opgaven</w:t>
      </w:r>
    </w:p>
    <w:p w:rsidR="00C41101" w:rsidRPr="00E62DB8" w:rsidRDefault="00C41101" w:rsidP="00C41101">
      <w:pPr>
        <w:pStyle w:val="TypografiOverskrift1IkkeFed"/>
        <w:numPr>
          <w:ilvl w:val="0"/>
          <w:numId w:val="0"/>
        </w:numPr>
        <w:tabs>
          <w:tab w:val="left" w:pos="1304"/>
        </w:tabs>
        <w:spacing w:line="240" w:lineRule="auto"/>
        <w:rPr>
          <w:rFonts w:cs="Arial"/>
        </w:rPr>
      </w:pPr>
      <w:r w:rsidRPr="00E62DB8">
        <w:rPr>
          <w:rFonts w:cs="Arial"/>
        </w:rPr>
        <w:t>På baggrund af de på byggemøder modtagne oplysninger, vurderes det om entreprenøren fuldt ud har overholdt forpligtelsen til at beskæftige praktikanter. Hvis ikke skal den manglende overholdelse sanktioneres efter bestemmelserne i kontraktklausulen, principalt i form af opkrævning af bod.</w:t>
      </w:r>
    </w:p>
    <w:p w:rsidR="00C41101" w:rsidRPr="00E62DB8" w:rsidRDefault="00C41101" w:rsidP="00C41101">
      <w:pPr>
        <w:pStyle w:val="TypografiOverskrift1IkkeFed"/>
        <w:numPr>
          <w:ilvl w:val="0"/>
          <w:numId w:val="0"/>
        </w:numPr>
        <w:tabs>
          <w:tab w:val="left" w:pos="1304"/>
        </w:tabs>
        <w:spacing w:line="240" w:lineRule="auto"/>
        <w:rPr>
          <w:rFonts w:cs="Arial"/>
          <w:i/>
        </w:rPr>
      </w:pPr>
    </w:p>
    <w:p w:rsidR="00C41101" w:rsidRPr="00E62DB8" w:rsidRDefault="00C41101" w:rsidP="00C41101">
      <w:pPr>
        <w:pStyle w:val="TypografiOverskrift1IkkeFed"/>
        <w:numPr>
          <w:ilvl w:val="0"/>
          <w:numId w:val="0"/>
        </w:numPr>
        <w:tabs>
          <w:tab w:val="left" w:pos="1304"/>
        </w:tabs>
        <w:spacing w:line="240" w:lineRule="auto"/>
        <w:rPr>
          <w:rFonts w:cs="Arial"/>
          <w:i/>
        </w:rPr>
      </w:pPr>
    </w:p>
    <w:p w:rsidR="00C41101" w:rsidRPr="00E62DB8" w:rsidRDefault="00C41101" w:rsidP="00E62DB8">
      <w:pPr>
        <w:pStyle w:val="Overskrift2"/>
        <w:rPr>
          <w:rFonts w:ascii="Arial" w:hAnsi="Arial" w:cs="Arial"/>
        </w:rPr>
      </w:pPr>
      <w:r w:rsidRPr="00E62DB8">
        <w:rPr>
          <w:rFonts w:ascii="Arial" w:hAnsi="Arial" w:cs="Arial"/>
        </w:rPr>
        <w:t xml:space="preserve">2) Øvrige kontrakter </w:t>
      </w:r>
    </w:p>
    <w:p w:rsidR="00C41101" w:rsidRPr="00E62DB8" w:rsidRDefault="00C41101" w:rsidP="00C41101">
      <w:pPr>
        <w:rPr>
          <w:rFonts w:ascii="Arial" w:hAnsi="Arial" w:cs="Arial"/>
          <w:b/>
          <w:i/>
          <w:sz w:val="20"/>
          <w:szCs w:val="20"/>
          <w:u w:val="single"/>
        </w:rPr>
      </w:pPr>
    </w:p>
    <w:p w:rsidR="00C41101" w:rsidRPr="00E62DB8" w:rsidRDefault="00C41101" w:rsidP="00C41101">
      <w:pPr>
        <w:rPr>
          <w:rFonts w:ascii="Arial" w:hAnsi="Arial" w:cs="Arial"/>
          <w:sz w:val="20"/>
        </w:rPr>
      </w:pPr>
      <w:r w:rsidRPr="00E62DB8">
        <w:rPr>
          <w:rFonts w:ascii="Arial" w:hAnsi="Arial" w:cs="Arial"/>
          <w:sz w:val="20"/>
        </w:rPr>
        <w:t xml:space="preserve">For øvrige kontrakter skal udarbejdes en hensigtserklæring om beskæftigelse af praktikanter i sædvanlig omfang for branchen ved udførelsen af kontrakten. Kontraktklausulen indgår i entreprisekontrakten i form af et bilag. </w:t>
      </w:r>
    </w:p>
    <w:p w:rsidR="00C41101" w:rsidRPr="00E62DB8" w:rsidRDefault="00C41101" w:rsidP="00C41101">
      <w:pPr>
        <w:pStyle w:val="TypografiOverskrift1IkkeFed"/>
        <w:numPr>
          <w:ilvl w:val="0"/>
          <w:numId w:val="0"/>
        </w:numPr>
        <w:tabs>
          <w:tab w:val="left" w:pos="1304"/>
        </w:tabs>
        <w:spacing w:line="240" w:lineRule="auto"/>
        <w:rPr>
          <w:rFonts w:cs="Arial"/>
          <w:b/>
        </w:rPr>
      </w:pPr>
    </w:p>
    <w:p w:rsidR="00C41101" w:rsidRPr="00E62DB8" w:rsidRDefault="00C41101" w:rsidP="00C41101">
      <w:pPr>
        <w:pStyle w:val="TypografiOverskrift1IkkeFed"/>
        <w:numPr>
          <w:ilvl w:val="0"/>
          <w:numId w:val="0"/>
        </w:numPr>
        <w:tabs>
          <w:tab w:val="left" w:pos="1304"/>
        </w:tabs>
        <w:spacing w:line="240" w:lineRule="auto"/>
        <w:rPr>
          <w:rFonts w:cs="Arial"/>
          <w:b/>
        </w:rPr>
      </w:pPr>
      <w:r w:rsidRPr="00E62DB8">
        <w:rPr>
          <w:rFonts w:cs="Arial"/>
          <w:b/>
        </w:rPr>
        <w:t>Opfølgning under udførelsen</w:t>
      </w:r>
    </w:p>
    <w:p w:rsidR="00C41101" w:rsidRPr="00E62DB8" w:rsidRDefault="00C41101" w:rsidP="00C41101">
      <w:pPr>
        <w:rPr>
          <w:rFonts w:ascii="Arial" w:hAnsi="Arial" w:cs="Arial"/>
          <w:sz w:val="20"/>
        </w:rPr>
      </w:pPr>
      <w:r w:rsidRPr="00E62DB8">
        <w:rPr>
          <w:rFonts w:ascii="Arial" w:hAnsi="Arial" w:cs="Arial"/>
          <w:sz w:val="20"/>
        </w:rPr>
        <w:t>Rådgiveren skal sikre opfølgningen ved, at der på byggemøder medtages et punkt i referatet kaldet ”Bemanding”. Under punktet noterer byggelederen antallet af aktuelt beskæftigede praktikanter som en særskilt del af den samlede bemanding, og praktikanternes navn + efternavn tilføres.</w:t>
      </w:r>
    </w:p>
    <w:p w:rsidR="00C41101" w:rsidRPr="00E62DB8" w:rsidRDefault="00C41101" w:rsidP="00C41101">
      <w:pPr>
        <w:rPr>
          <w:rFonts w:ascii="Arial" w:hAnsi="Arial" w:cs="Arial"/>
          <w:sz w:val="20"/>
        </w:rPr>
      </w:pPr>
    </w:p>
    <w:p w:rsidR="00C41101" w:rsidRPr="00E62DB8" w:rsidRDefault="00C41101" w:rsidP="00C41101">
      <w:pPr>
        <w:pStyle w:val="TypografiOverskrift1IkkeFed"/>
        <w:numPr>
          <w:ilvl w:val="0"/>
          <w:numId w:val="0"/>
        </w:numPr>
        <w:tabs>
          <w:tab w:val="left" w:pos="1304"/>
        </w:tabs>
        <w:spacing w:line="240" w:lineRule="auto"/>
        <w:rPr>
          <w:rFonts w:cs="Arial"/>
        </w:rPr>
      </w:pPr>
      <w:r w:rsidRPr="00E62DB8">
        <w:rPr>
          <w:rFonts w:cs="Arial"/>
        </w:rPr>
        <w:t>Der henvises til vejledningen, der indgår som en del af ordlyden af regionens paradigmer for kontraktklausuler med praktik- og uddannelseskrav for øvrige kontrakter.</w:t>
      </w:r>
    </w:p>
    <w:p w:rsidR="00C41101" w:rsidRPr="00E62DB8" w:rsidRDefault="00C41101" w:rsidP="00C41101">
      <w:pPr>
        <w:rPr>
          <w:rFonts w:ascii="Arial" w:hAnsi="Arial" w:cs="Arial"/>
          <w:sz w:val="20"/>
        </w:rPr>
      </w:pPr>
    </w:p>
    <w:p w:rsidR="00C41101" w:rsidRPr="00E62DB8" w:rsidRDefault="00C41101" w:rsidP="00C41101">
      <w:pPr>
        <w:rPr>
          <w:rFonts w:ascii="Arial" w:hAnsi="Arial" w:cs="Arial"/>
          <w:sz w:val="20"/>
        </w:rPr>
      </w:pPr>
    </w:p>
    <w:p w:rsidR="00C41101" w:rsidRPr="00E62DB8" w:rsidRDefault="00C41101" w:rsidP="00C41101">
      <w:pPr>
        <w:spacing w:line="240" w:lineRule="exact"/>
        <w:rPr>
          <w:rFonts w:ascii="Arial" w:hAnsi="Arial" w:cs="Arial"/>
          <w:b/>
          <w:i/>
          <w:sz w:val="20"/>
          <w:szCs w:val="20"/>
          <w:u w:val="single"/>
        </w:rPr>
      </w:pPr>
    </w:p>
    <w:p w:rsidR="00C41101" w:rsidRPr="00E62DB8" w:rsidRDefault="00C41101" w:rsidP="00C41101">
      <w:pPr>
        <w:spacing w:line="240" w:lineRule="exact"/>
        <w:rPr>
          <w:rFonts w:ascii="Arial" w:hAnsi="Arial" w:cs="Arial"/>
          <w:b/>
          <w:i/>
          <w:sz w:val="20"/>
          <w:szCs w:val="20"/>
          <w:u w:val="single"/>
        </w:rPr>
      </w:pPr>
    </w:p>
    <w:p w:rsidR="00C41101" w:rsidRPr="00E62DB8" w:rsidRDefault="00C41101" w:rsidP="00C41101">
      <w:pPr>
        <w:spacing w:line="240" w:lineRule="exact"/>
        <w:rPr>
          <w:rFonts w:ascii="Arial" w:hAnsi="Arial" w:cs="Arial"/>
          <w:i/>
          <w:sz w:val="20"/>
          <w:szCs w:val="20"/>
          <w:u w:val="single"/>
        </w:rPr>
      </w:pPr>
    </w:p>
    <w:p w:rsidR="00C41101" w:rsidRPr="00E62DB8" w:rsidRDefault="00C41101" w:rsidP="00C41101">
      <w:pPr>
        <w:pStyle w:val="TypografiOverskrift1IkkeFed"/>
        <w:numPr>
          <w:ilvl w:val="0"/>
          <w:numId w:val="0"/>
        </w:numPr>
        <w:tabs>
          <w:tab w:val="left" w:pos="1304"/>
        </w:tabs>
        <w:rPr>
          <w:rFonts w:cs="Arial"/>
          <w:i/>
        </w:rPr>
      </w:pPr>
    </w:p>
    <w:p w:rsidR="001853BA" w:rsidRPr="00E62DB8" w:rsidRDefault="00E62DB8">
      <w:pPr>
        <w:rPr>
          <w:rFonts w:ascii="Arial" w:hAnsi="Arial" w:cs="Arial"/>
        </w:rPr>
      </w:pPr>
    </w:p>
    <w:sectPr w:rsidR="001853BA" w:rsidRPr="00E62DB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D7B"/>
    <w:multiLevelType w:val="hybridMultilevel"/>
    <w:tmpl w:val="AED6B81C"/>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ind w:left="1440" w:hanging="360"/>
      </w:pPr>
      <w:rPr>
        <w:rFonts w:ascii="Courier New" w:hAnsi="Courier New" w:cs="Times New Roman"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Times New Roman"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Times New Roman"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5EA8250B"/>
    <w:multiLevelType w:val="hybridMultilevel"/>
    <w:tmpl w:val="888E0F00"/>
    <w:lvl w:ilvl="0" w:tplc="833AC980">
      <w:start w:val="1"/>
      <w:numFmt w:val="lowerLetter"/>
      <w:pStyle w:val="TypografiOverskrift1IkkeFed"/>
      <w:lvlText w:val="%1)"/>
      <w:lvlJc w:val="left"/>
      <w:pPr>
        <w:tabs>
          <w:tab w:val="num" w:pos="567"/>
        </w:tabs>
        <w:ind w:left="567" w:hanging="170"/>
      </w:pPr>
      <w:rPr>
        <w:rFonts w:ascii="Arial" w:hAnsi="Arial" w:cs="Times New Roman" w:hint="default"/>
        <w:b w:val="0"/>
        <w:i w:val="0"/>
        <w:sz w:val="20"/>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2" w15:restartNumberingAfterBreak="0">
    <w:nsid w:val="78EC4AE5"/>
    <w:multiLevelType w:val="hybridMultilevel"/>
    <w:tmpl w:val="F328DC10"/>
    <w:lvl w:ilvl="0" w:tplc="6562D6E6">
      <w:start w:val="1"/>
      <w:numFmt w:val="bullet"/>
      <w:lvlText w:val=""/>
      <w:lvlJc w:val="left"/>
      <w:pPr>
        <w:tabs>
          <w:tab w:val="num" w:pos="681"/>
        </w:tabs>
        <w:ind w:left="681" w:hanging="284"/>
      </w:pPr>
      <w:rPr>
        <w:rFonts w:ascii="Symbol" w:hAnsi="Symbol" w:hint="default"/>
        <w:b w:val="0"/>
        <w:i w:val="0"/>
        <w:sz w:val="20"/>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01"/>
    <w:rsid w:val="0045347F"/>
    <w:rsid w:val="007E11F5"/>
    <w:rsid w:val="00853FC5"/>
    <w:rsid w:val="00C41101"/>
    <w:rsid w:val="00E62D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DBDCE-5491-4F91-9348-FCEF92F3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101"/>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E62D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E62DB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E62DB8"/>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semiHidden/>
    <w:unhideWhenUsed/>
    <w:rsid w:val="00C41101"/>
    <w:rPr>
      <w:rFonts w:ascii="Times New Roman" w:hAnsi="Times New Roman" w:cs="Times New Roman" w:hint="default"/>
      <w:color w:val="0000FF"/>
      <w:u w:val="single"/>
    </w:rPr>
  </w:style>
  <w:style w:type="paragraph" w:customStyle="1" w:styleId="TypografiOverskrift1IkkeFed">
    <w:name w:val="Typografi Overskrift 1 + Ikke Fed"/>
    <w:basedOn w:val="Normal"/>
    <w:rsid w:val="00C41101"/>
    <w:pPr>
      <w:numPr>
        <w:numId w:val="1"/>
      </w:numPr>
      <w:spacing w:line="240" w:lineRule="exact"/>
    </w:pPr>
    <w:rPr>
      <w:rFonts w:ascii="Arial" w:hAnsi="Arial"/>
      <w:sz w:val="20"/>
    </w:rPr>
  </w:style>
  <w:style w:type="paragraph" w:customStyle="1" w:styleId="Boks-TekstGR">
    <w:name w:val="Boks - Tekst GRÅ"/>
    <w:basedOn w:val="Normal"/>
    <w:rsid w:val="00C41101"/>
    <w:pPr>
      <w:spacing w:before="160" w:line="240" w:lineRule="atLeast"/>
      <w:ind w:right="170"/>
    </w:pPr>
    <w:rPr>
      <w:rFonts w:ascii="Cambria" w:hAnsi="Cambria"/>
      <w:color w:val="706F6F"/>
      <w:sz w:val="19"/>
      <w:szCs w:val="19"/>
      <w:lang w:val="en-US" w:eastAsia="en-US"/>
    </w:rPr>
  </w:style>
  <w:style w:type="character" w:customStyle="1" w:styleId="Overskrift1Tegn">
    <w:name w:val="Overskrift 1 Tegn"/>
    <w:basedOn w:val="Standardskrifttypeiafsnit"/>
    <w:link w:val="Overskrift1"/>
    <w:uiPriority w:val="9"/>
    <w:rsid w:val="00E62DB8"/>
    <w:rPr>
      <w:rFonts w:asciiTheme="majorHAnsi" w:eastAsiaTheme="majorEastAsia" w:hAnsiTheme="majorHAnsi" w:cstheme="majorBidi"/>
      <w:color w:val="365F91" w:themeColor="accent1" w:themeShade="BF"/>
      <w:sz w:val="32"/>
      <w:szCs w:val="32"/>
      <w:lang w:eastAsia="da-DK"/>
    </w:rPr>
  </w:style>
  <w:style w:type="character" w:customStyle="1" w:styleId="Overskrift2Tegn">
    <w:name w:val="Overskrift 2 Tegn"/>
    <w:basedOn w:val="Standardskrifttypeiafsnit"/>
    <w:link w:val="Overskrift2"/>
    <w:uiPriority w:val="9"/>
    <w:rsid w:val="00E62DB8"/>
    <w:rPr>
      <w:rFonts w:asciiTheme="majorHAnsi" w:eastAsiaTheme="majorEastAsia" w:hAnsiTheme="majorHAnsi" w:cstheme="majorBidi"/>
      <w:color w:val="365F91" w:themeColor="accent1" w:themeShade="BF"/>
      <w:sz w:val="26"/>
      <w:szCs w:val="26"/>
      <w:lang w:eastAsia="da-DK"/>
    </w:rPr>
  </w:style>
  <w:style w:type="character" w:customStyle="1" w:styleId="Overskrift3Tegn">
    <w:name w:val="Overskrift 3 Tegn"/>
    <w:basedOn w:val="Standardskrifttypeiafsnit"/>
    <w:link w:val="Overskrift3"/>
    <w:uiPriority w:val="9"/>
    <w:rsid w:val="00E62DB8"/>
    <w:rPr>
      <w:rFonts w:asciiTheme="majorHAnsi" w:eastAsiaTheme="majorEastAsia" w:hAnsiTheme="majorHAnsi" w:cstheme="majorBidi"/>
      <w:color w:val="243F60" w:themeColor="accent1" w:themeShade="7F"/>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4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fst.dk/nyheder/kfst/ok-nyheder/2018/20181219-ny-udgave-af-vejledning-om-sociale-klausuler-i-udbud/"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1028</Words>
  <Characters>6277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Metzmann</dc:creator>
  <cp:keywords/>
  <dc:description/>
  <cp:lastModifiedBy>Charlotte Metzmann</cp:lastModifiedBy>
  <cp:revision>3</cp:revision>
  <dcterms:created xsi:type="dcterms:W3CDTF">2021-10-15T08:21:00Z</dcterms:created>
  <dcterms:modified xsi:type="dcterms:W3CDTF">2021-10-15T08:28:00Z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{21541487-2353-40EB-9515-43EF1EE58531}</vt:lpwstr>
  </property>
</Properties>
</file>