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73" w:rsidRPr="00750373" w:rsidRDefault="00750373" w:rsidP="00750373">
      <w:pPr>
        <w:pStyle w:val="Default"/>
        <w:rPr>
          <w:rFonts w:ascii="Arial" w:hAnsi="Arial" w:cs="Arial"/>
          <w:color w:val="auto"/>
          <w:sz w:val="18"/>
          <w:szCs w:val="18"/>
        </w:rPr>
      </w:pPr>
      <w:r w:rsidRPr="00750373">
        <w:rPr>
          <w:rFonts w:ascii="Arial" w:hAnsi="Arial" w:cs="Arial"/>
          <w:color w:val="auto"/>
          <w:sz w:val="18"/>
          <w:szCs w:val="18"/>
        </w:rPr>
        <w:t>Region Syddanmark</w:t>
      </w:r>
    </w:p>
    <w:p w:rsidR="00750373" w:rsidRPr="00750373" w:rsidRDefault="00750373" w:rsidP="00750373">
      <w:pPr>
        <w:pStyle w:val="Default"/>
        <w:rPr>
          <w:rFonts w:ascii="Arial" w:hAnsi="Arial" w:cs="Arial"/>
          <w:color w:val="auto"/>
          <w:sz w:val="18"/>
          <w:szCs w:val="18"/>
        </w:rPr>
      </w:pPr>
      <w:r w:rsidRPr="00750373">
        <w:rPr>
          <w:rFonts w:ascii="Arial" w:hAnsi="Arial" w:cs="Arial"/>
          <w:color w:val="auto"/>
          <w:sz w:val="18"/>
          <w:szCs w:val="18"/>
        </w:rPr>
        <w:t>Bygningsafdelingen</w:t>
      </w:r>
    </w:p>
    <w:p w:rsidR="00750373" w:rsidRPr="00750373" w:rsidRDefault="00750373" w:rsidP="00750373">
      <w:pPr>
        <w:pStyle w:val="Default"/>
        <w:rPr>
          <w:rFonts w:ascii="Arial" w:hAnsi="Arial" w:cs="Arial"/>
          <w:color w:val="auto"/>
          <w:sz w:val="18"/>
          <w:szCs w:val="18"/>
        </w:rPr>
      </w:pPr>
      <w:r w:rsidRPr="00750373">
        <w:rPr>
          <w:rFonts w:ascii="Arial" w:hAnsi="Arial" w:cs="Arial"/>
          <w:color w:val="auto"/>
          <w:sz w:val="18"/>
          <w:szCs w:val="18"/>
        </w:rPr>
        <w:t>Juli 2015 – Revideret august 2016</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Overskrift1"/>
        <w:rPr>
          <w:rFonts w:ascii="Arial" w:hAnsi="Arial" w:cs="Arial"/>
          <w:color w:val="auto"/>
        </w:rPr>
      </w:pPr>
      <w:r w:rsidRPr="00750373">
        <w:rPr>
          <w:rFonts w:ascii="Arial" w:hAnsi="Arial" w:cs="Arial"/>
          <w:color w:val="auto"/>
        </w:rPr>
        <w:t xml:space="preserve">ARBEJDSKLAUSUL BYGGE- OG ANLÆGSKONTRAKTER </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rPr>
          <w:rFonts w:ascii="Arial" w:hAnsi="Arial" w:cs="Arial"/>
          <w:sz w:val="19"/>
          <w:szCs w:val="19"/>
        </w:rPr>
      </w:pPr>
      <w:r w:rsidRPr="00750373">
        <w:rPr>
          <w:rFonts w:ascii="Arial" w:hAnsi="Arial" w:cs="Arial"/>
          <w:i/>
          <w:sz w:val="20"/>
          <w:szCs w:val="20"/>
        </w:rPr>
        <w:t xml:space="preserve">På baggrund af cirkulære nr. 9471 af 30/6 2014 om arbejdsklausuler i offentlige kontrakter fra beskæftigelsesministeriet med tilhørende vejledning nr. 9472 af samme dato, har Regionsrådet den 22. juni 2015 vedtaget følgende </w:t>
      </w:r>
    </w:p>
    <w:p w:rsidR="00750373" w:rsidRPr="00750373" w:rsidRDefault="00750373" w:rsidP="00750373">
      <w:pPr>
        <w:rPr>
          <w:rFonts w:ascii="Arial" w:hAnsi="Arial" w:cs="Arial"/>
          <w:sz w:val="19"/>
          <w:szCs w:val="19"/>
        </w:rPr>
      </w:pPr>
      <w:bookmarkStart w:id="0" w:name="_GoBack"/>
      <w:bookmarkEnd w:id="0"/>
    </w:p>
    <w:p w:rsidR="00750373" w:rsidRPr="00750373" w:rsidRDefault="00750373" w:rsidP="00750373">
      <w:pPr>
        <w:pStyle w:val="Overskrift1"/>
        <w:rPr>
          <w:rFonts w:ascii="Arial" w:hAnsi="Arial" w:cs="Arial"/>
          <w:color w:val="auto"/>
        </w:rPr>
      </w:pPr>
      <w:r w:rsidRPr="00750373">
        <w:rPr>
          <w:rFonts w:ascii="Arial" w:hAnsi="Arial" w:cs="Arial"/>
          <w:color w:val="auto"/>
        </w:rPr>
        <w:t xml:space="preserve">KLAUSULTEKST: </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Overskrift2"/>
        <w:rPr>
          <w:rFonts w:ascii="Arial" w:hAnsi="Arial" w:cs="Arial"/>
          <w:color w:val="auto"/>
        </w:rPr>
      </w:pPr>
      <w:r w:rsidRPr="00750373">
        <w:rPr>
          <w:rFonts w:ascii="Arial" w:hAnsi="Arial" w:cs="Arial"/>
          <w:color w:val="auto"/>
        </w:rPr>
        <w:t>Krav</w:t>
      </w: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 xml:space="preserve">Entreprenøren skal sikre, at ansatte hos entreprenøren og eventuelle underentreprenører og underleverandører, som medvirker til at opfylde kontrakten i Danmark, er sikret løn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 </w:t>
      </w:r>
    </w:p>
    <w:p w:rsidR="00750373" w:rsidRPr="00750373" w:rsidRDefault="00750373" w:rsidP="00750373">
      <w:pPr>
        <w:rPr>
          <w:rFonts w:ascii="Arial" w:hAnsi="Arial" w:cs="Arial"/>
          <w:sz w:val="20"/>
          <w:szCs w:val="20"/>
        </w:rPr>
      </w:pPr>
    </w:p>
    <w:p w:rsidR="00750373" w:rsidRPr="00750373" w:rsidRDefault="00750373" w:rsidP="00750373">
      <w:pPr>
        <w:rPr>
          <w:rFonts w:ascii="Arial" w:hAnsi="Arial" w:cs="Arial"/>
          <w:sz w:val="20"/>
          <w:szCs w:val="20"/>
        </w:rPr>
      </w:pPr>
      <w:r w:rsidRPr="00750373">
        <w:rPr>
          <w:rFonts w:ascii="Arial" w:hAnsi="Arial" w:cs="Arial"/>
          <w:sz w:val="20"/>
          <w:szCs w:val="20"/>
        </w:rPr>
        <w:t xml:space="preserve">Entreprenøren skal sikre, at de ansatte, herunder ansatte hos eventuelle underentreprenører og underleverandører, får oplysninger om de gældende arbejdsvilkår. </w:t>
      </w:r>
    </w:p>
    <w:p w:rsidR="00750373" w:rsidRPr="00750373" w:rsidRDefault="00750373" w:rsidP="00750373">
      <w:pPr>
        <w:rPr>
          <w:rFonts w:ascii="Arial" w:hAnsi="Arial" w:cs="Arial"/>
          <w:sz w:val="20"/>
          <w:szCs w:val="20"/>
        </w:rPr>
      </w:pPr>
    </w:p>
    <w:p w:rsidR="00750373" w:rsidRPr="00750373" w:rsidRDefault="00750373" w:rsidP="00750373">
      <w:pPr>
        <w:pStyle w:val="Overskrift2"/>
        <w:rPr>
          <w:rFonts w:ascii="Arial" w:hAnsi="Arial" w:cs="Arial"/>
          <w:color w:val="auto"/>
        </w:rPr>
      </w:pPr>
      <w:r w:rsidRPr="00750373">
        <w:rPr>
          <w:rFonts w:ascii="Arial" w:hAnsi="Arial" w:cs="Arial"/>
          <w:color w:val="auto"/>
        </w:rPr>
        <w:t>Kontrol</w:t>
      </w: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 xml:space="preserve">Bygherren kan til enhver tid udbede sig relevant dokumentation for, at løn- og arbejdsvilkår for arbejdstagerne lever op til forpligtelsen fastsat i arbejdsklausulen. </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Bygherren kan kræve, at entreprenøren – efter skriftligt påkrav herom – inden for 10 arbejdsdage fremskaffer relevant dokumentation såsom løn- og timesedler, lønregnskab og ansættelseskontrakter fra såvel egne som eventuelle underentreprenørers/underleverandørers arbejdstagere. Bygherren kan forlange, at der udleveres udtræk pr. medarbejder fra E-indkomst med en oversigt over entreprenørens indbetalte A-skat for de pågældende medarbejdere. For medarbejdere, hvor oplysningerne indberettes til andre landes skattemyndigheder, kan tilsvarende oplysninger kræves udleveret.</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Det påhviler entreprenøren at sikre, at bygherren har ret til fuldstændig indsigt i ansættelsesvilkårene, herunder i forhold til underentreprenørers/underleverandørers ansatte</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 xml:space="preserve">Bygherren kan til brug for sin vurdering af, om entreprenøren, underentreprenører eller underleverandører har overholdt klausulen, søge rådgivning hos relevante arbejdsgiver- og/eller arbejdstagerorganisationer. Dokumentationen fra entreprenøren kan efter omstændighederne i øvrigt give anledning til at bygherren videregiver dokumentationen til andre myndigheder, f.eks. SKAT, Arbejdstilsynet og/eller Politiet. </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Overskrift2"/>
        <w:rPr>
          <w:rFonts w:ascii="Arial" w:hAnsi="Arial" w:cs="Arial"/>
          <w:color w:val="auto"/>
        </w:rPr>
      </w:pPr>
      <w:r w:rsidRPr="00750373">
        <w:rPr>
          <w:rFonts w:ascii="Arial" w:hAnsi="Arial" w:cs="Arial"/>
          <w:color w:val="auto"/>
        </w:rPr>
        <w:t>Sanktioner</w:t>
      </w: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Hvis entreprenøren ikke overholder sine forpligtelser i medfør af arbejdsklausulen, kan bygherren kræve at entreprenøren bringer forholdene i orden inden 10 arbejdsdage.</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Kan entreprenøren ikke inden fristens udløb dokumentere, at forholdene er bragt i overensstemmelse med arbejdsklausulens krav, er bygherren fra fristens udløb berettiget til en bod på 0,1 % af entreprisesummen pr. arbejdsdag, hvor arbejdsklausulen ikke er overholdt. Samme bod kan bygherren indenfor samme frist pålægge entreprenøren, såfremt entreprenøren ikke efterkommer bygherrens krav om dokumentation.</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Bodsbeløb kan modregnes i betaling af vederlag til entreprenøren.</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 xml:space="preserve">Hvis det i det arbejdsretlige system afgøres, at entreprenøren ikke har overholdt sine forpligtelser i medfør af arbejdsklausulen, og arbejdstagerne, hvis arbejdsklausulen havde været overholdt, ville have haft krav på </w:t>
      </w:r>
      <w:r w:rsidRPr="00750373">
        <w:rPr>
          <w:rFonts w:ascii="Arial" w:hAnsi="Arial" w:cs="Arial"/>
          <w:color w:val="auto"/>
          <w:sz w:val="20"/>
          <w:szCs w:val="20"/>
        </w:rPr>
        <w:lastRenderedPageBreak/>
        <w:t>yderligere løn m.v., kan bygherren tilbageholde vederlag til entreprenøren med henblik på betaling af det beløb, som entreprenøren er blevet pålagt at betale til arbejdstagerne.</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Manglende overholdelse af klausulen kan herudover i øvrigt, f.eks. ved gentagne alvorlige overtrædelser, efter omstændighederne udgøre væsentlig misligholdelse og medføre ret til hel eller delvis ophævelse af kontrakten. Opkrævning af bod afskærer ikke bygherren fra at ophæve kontrakten på et senere tidspunkt, såfremt misligholdelsen fortsætter eller der konstateres nye overtrædelser.</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Overskrift2"/>
        <w:rPr>
          <w:rFonts w:ascii="Arial" w:hAnsi="Arial" w:cs="Arial"/>
          <w:color w:val="auto"/>
        </w:rPr>
      </w:pPr>
      <w:r w:rsidRPr="00750373">
        <w:rPr>
          <w:rFonts w:ascii="Arial" w:hAnsi="Arial" w:cs="Arial"/>
          <w:color w:val="auto"/>
        </w:rPr>
        <w:t>Udbudskarantæne</w:t>
      </w: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Entreprenørens manglende overholdelse af sine kontraktmæssige forpligtelser i medfør af arbejdsklausulen er at betragte som en forsømmelse i forbindelse med udøvelsen af entreprenørens erhverv, jf. udbudslovens § 137, stk. 1, nr. 3.</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Om en konstateret fejl kan anses for en "alvorlig forsømmelse" i udbudslovens forstand, vil bero på den adfærd, som entreprenøren har udvist, herunder om misligholdelsen beror på hensigt eller uagtsomhed af en vis alvor hos entreprenøren.</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Konstateringen af, om entreprenøren har begået en alvorlig forsømmelse ved manglende overholdelse af sine kontraktmæssige forpligtelser i medfør af arbejdsklausulen, vil ske ved en konkret og individuel vurdering af den af entreprenøren udviste uagtsomhed. Konstateringen heraf forudsætter ikke, at der foreligger en retskraftig dom eller lignende grundlag.</w:t>
      </w:r>
    </w:p>
    <w:p w:rsidR="00750373" w:rsidRPr="00750373" w:rsidRDefault="00750373" w:rsidP="00750373">
      <w:pPr>
        <w:pStyle w:val="Default"/>
        <w:rPr>
          <w:rFonts w:ascii="Arial" w:hAnsi="Arial" w:cs="Arial"/>
          <w:color w:val="auto"/>
          <w:sz w:val="20"/>
          <w:szCs w:val="20"/>
        </w:rPr>
      </w:pPr>
    </w:p>
    <w:p w:rsidR="00750373" w:rsidRPr="00750373" w:rsidRDefault="00750373" w:rsidP="00750373">
      <w:pPr>
        <w:pStyle w:val="Default"/>
        <w:rPr>
          <w:rFonts w:ascii="Arial" w:hAnsi="Arial" w:cs="Arial"/>
          <w:color w:val="auto"/>
          <w:sz w:val="20"/>
          <w:szCs w:val="20"/>
        </w:rPr>
      </w:pPr>
      <w:r w:rsidRPr="00750373">
        <w:rPr>
          <w:rFonts w:ascii="Arial" w:hAnsi="Arial" w:cs="Arial"/>
          <w:color w:val="auto"/>
          <w:sz w:val="20"/>
          <w:szCs w:val="20"/>
        </w:rPr>
        <w:t>Såfremt bygherren konstaterer, at entreprenøren ved misligholdelse af sine kontraktmæssige forpligtelser vedrørende arbejdsklausulen har begået en alvorlig forsømmelse, kan bygherren udelukke entreprenøren fra at deltage i fremtidige udbudsforretninger, som bygherren afholder. Bygherren forbeholder sig herudover ret til at informere andre ordregivende myndigheder om den af entreprenørens begåede "alvorlige forsømmelse”.</w:t>
      </w:r>
    </w:p>
    <w:p w:rsidR="00750373" w:rsidRPr="00750373" w:rsidRDefault="00750373" w:rsidP="00750373">
      <w:pPr>
        <w:rPr>
          <w:rFonts w:ascii="Arial" w:hAnsi="Arial" w:cs="Arial"/>
        </w:rPr>
      </w:pPr>
    </w:p>
    <w:p w:rsidR="00750373" w:rsidRPr="00750373" w:rsidRDefault="00750373" w:rsidP="00750373">
      <w:pPr>
        <w:pStyle w:val="Default"/>
        <w:rPr>
          <w:rFonts w:ascii="Arial" w:hAnsi="Arial" w:cs="Arial"/>
          <w:color w:val="auto"/>
          <w:sz w:val="20"/>
          <w:szCs w:val="20"/>
        </w:rPr>
      </w:pPr>
    </w:p>
    <w:p w:rsidR="001853BA" w:rsidRPr="00750373" w:rsidRDefault="00750373">
      <w:pPr>
        <w:rPr>
          <w:rFonts w:ascii="Arial" w:hAnsi="Arial" w:cs="Arial"/>
        </w:rPr>
      </w:pPr>
    </w:p>
    <w:sectPr w:rsidR="001853BA" w:rsidRPr="007503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73"/>
    <w:rsid w:val="0045347F"/>
    <w:rsid w:val="00750373"/>
    <w:rsid w:val="007E11F5"/>
    <w:rsid w:val="00973016"/>
    <w:rsid w:val="00DB0D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DCF9C-0BDF-43CD-B611-BC3B09E2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73"/>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7503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75037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750373"/>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character" w:customStyle="1" w:styleId="Overskrift1Tegn">
    <w:name w:val="Overskrift 1 Tegn"/>
    <w:basedOn w:val="Standardskrifttypeiafsnit"/>
    <w:link w:val="Overskrift1"/>
    <w:uiPriority w:val="9"/>
    <w:rsid w:val="00750373"/>
    <w:rPr>
      <w:rFonts w:asciiTheme="majorHAnsi" w:eastAsiaTheme="majorEastAsia" w:hAnsiTheme="majorHAnsi" w:cstheme="majorBidi"/>
      <w:color w:val="365F91" w:themeColor="accent1" w:themeShade="BF"/>
      <w:sz w:val="32"/>
      <w:szCs w:val="32"/>
      <w:lang w:eastAsia="da-DK"/>
    </w:rPr>
  </w:style>
  <w:style w:type="character" w:customStyle="1" w:styleId="Overskrift2Tegn">
    <w:name w:val="Overskrift 2 Tegn"/>
    <w:basedOn w:val="Standardskrifttypeiafsnit"/>
    <w:link w:val="Overskrift2"/>
    <w:uiPriority w:val="9"/>
    <w:rsid w:val="00750373"/>
    <w:rPr>
      <w:rFonts w:asciiTheme="majorHAnsi" w:eastAsiaTheme="majorEastAsia" w:hAnsiTheme="majorHAnsi" w:cstheme="majorBidi"/>
      <w:color w:val="365F91" w:themeColor="accent1" w:themeShade="BF"/>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Metzmann</dc:creator>
  <cp:keywords/>
  <dc:description/>
  <cp:lastModifiedBy>Charlotte Metzmann</cp:lastModifiedBy>
  <cp:revision>1</cp:revision>
  <dcterms:created xsi:type="dcterms:W3CDTF">2021-10-19T09:10:00Z</dcterms:created>
  <dcterms:modified xsi:type="dcterms:W3CDTF">2021-10-19T09:11:00Z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{A6ACA08C-9E18-4355-9A7C-F46ACBF1BAAC}</vt:lpwstr>
  </property>
</Properties>
</file>