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DC4A58" w:rsidRDefault="00E835FA" w:rsidP="00D349BD">
      <w:pPr>
        <w:spacing w:after="0"/>
        <w:rPr>
          <w:b/>
          <w:sz w:val="32"/>
          <w:szCs w:val="32"/>
        </w:rPr>
      </w:pPr>
      <w:r w:rsidRPr="00DC4A58">
        <w:rPr>
          <w:b/>
          <w:color w:val="70AD47" w:themeColor="accent6"/>
          <w:sz w:val="28"/>
          <w:szCs w:val="28"/>
        </w:rPr>
        <w:t>Vedrørende køb af 1 eller 2 ydernumre</w:t>
      </w:r>
      <w:r w:rsidR="00D349BD" w:rsidRPr="00DC4A58">
        <w:rPr>
          <w:b/>
          <w:color w:val="70AD47" w:themeColor="accent6"/>
          <w:sz w:val="28"/>
          <w:szCs w:val="28"/>
        </w:rPr>
        <w:t xml:space="preserve"> uden</w:t>
      </w:r>
      <w:r w:rsidR="0089095B" w:rsidRPr="00DC4A58">
        <w:rPr>
          <w:b/>
          <w:color w:val="70AD47" w:themeColor="accent6"/>
          <w:sz w:val="28"/>
          <w:szCs w:val="28"/>
        </w:rPr>
        <w:t xml:space="preserve"> patienter til nedsættelse</w:t>
      </w:r>
      <w:r w:rsidRPr="00DC4A58">
        <w:rPr>
          <w:b/>
          <w:color w:val="70AD47" w:themeColor="accent6"/>
          <w:sz w:val="28"/>
          <w:szCs w:val="28"/>
        </w:rPr>
        <w:t xml:space="preserve"> i </w:t>
      </w:r>
      <w:r w:rsidR="00DC4A58">
        <w:rPr>
          <w:b/>
          <w:color w:val="70AD47" w:themeColor="accent6"/>
          <w:sz w:val="28"/>
          <w:szCs w:val="28"/>
        </w:rPr>
        <w:br/>
      </w:r>
      <w:r w:rsidRPr="00DC4A58">
        <w:rPr>
          <w:b/>
          <w:color w:val="70AD47" w:themeColor="accent6"/>
          <w:sz w:val="28"/>
          <w:szCs w:val="28"/>
        </w:rPr>
        <w:t xml:space="preserve">5330 Munkebo eller 5300 Kerteminde.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>Ved afgivelse af bud på ydernummeret</w:t>
      </w:r>
      <w:r w:rsidR="00E835FA">
        <w:rPr>
          <w:rFonts w:cstheme="minorHAnsi"/>
          <w:color w:val="000000"/>
          <w:sz w:val="24"/>
          <w:szCs w:val="24"/>
        </w:rPr>
        <w:t>/ydernumrene</w:t>
      </w:r>
      <w:r w:rsidRPr="00D349BD">
        <w:rPr>
          <w:rFonts w:cstheme="minorHAnsi"/>
          <w:color w:val="000000"/>
          <w:sz w:val="24"/>
          <w:szCs w:val="24"/>
        </w:rPr>
        <w:t>, skal budgiver dels angive en pris for ydernummeret</w:t>
      </w:r>
      <w:r w:rsidR="00E835FA">
        <w:rPr>
          <w:rFonts w:cstheme="minorHAnsi"/>
          <w:color w:val="000000"/>
          <w:sz w:val="24"/>
          <w:szCs w:val="24"/>
        </w:rPr>
        <w:t>/ydernumrene</w:t>
      </w:r>
      <w:r>
        <w:rPr>
          <w:rFonts w:cstheme="minorHAnsi"/>
          <w:color w:val="000000"/>
          <w:sz w:val="24"/>
          <w:szCs w:val="24"/>
        </w:rPr>
        <w:t>, 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C65C03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Eventuelle bilag til udfyldelse af ansøgningsskemaet kan vedlægges som bilag.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89095B">
        <w:rPr>
          <w:color w:val="70AD47" w:themeColor="accent6"/>
          <w:sz w:val="28"/>
          <w:szCs w:val="28"/>
        </w:rPr>
        <w:t xml:space="preserve">ansøgningsskema er senest tirsdag den 18. januar 2022 kl. 10.00. </w:t>
      </w:r>
      <w:r w:rsidRPr="0058744E">
        <w:rPr>
          <w:color w:val="70AD47" w:themeColor="accent6"/>
          <w:sz w:val="28"/>
          <w:szCs w:val="28"/>
        </w:rPr>
        <w:t xml:space="preserve">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E835FA">
        <w:rPr>
          <w:b/>
          <w:sz w:val="28"/>
          <w:szCs w:val="28"/>
        </w:rPr>
        <w:t xml:space="preserve"> den 26</w:t>
      </w:r>
      <w:r w:rsidR="0089095B">
        <w:rPr>
          <w:b/>
          <w:sz w:val="28"/>
          <w:szCs w:val="28"/>
        </w:rPr>
        <w:t>. januar 2022 efter kl. 14.00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  <w:bookmarkStart w:id="0" w:name="_GoBack"/>
      <w:bookmarkEnd w:id="0"/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58744E"/>
    <w:rsid w:val="0089095B"/>
    <w:rsid w:val="00BF68BA"/>
    <w:rsid w:val="00C46FCB"/>
    <w:rsid w:val="00C65C0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DE7C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3</cp:revision>
  <cp:lastPrinted>2021-09-15T12:19:00Z</cp:lastPrinted>
  <dcterms:created xsi:type="dcterms:W3CDTF">2021-12-15T21:11:00Z</dcterms:created>
  <dcterms:modified xsi:type="dcterms:W3CDTF">2021-12-17T09:15:00Z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{F5C4EBC8-3889-4A57-A028-F80ECCF103BE}</vt:lpwstr>
  </property>
</Properties>
</file>