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985"/>
      </w:tblGrid>
      <w:tr w:rsidR="00035F6E" w:rsidRPr="007C238C" w:rsidTr="00E72F8D">
        <w:trPr>
          <w:trHeight w:val="279"/>
        </w:trPr>
        <w:tc>
          <w:tcPr>
            <w:tcW w:w="992" w:type="dxa"/>
          </w:tcPr>
          <w:p w:rsidR="00035F6E" w:rsidRPr="00FC06BE" w:rsidRDefault="00035F6E" w:rsidP="00035F6E">
            <w:pPr>
              <w:rPr>
                <w:rFonts w:ascii="Calibri" w:hAnsi="Calibri" w:cs="Calibri"/>
                <w:b/>
                <w:sz w:val="18"/>
                <w:szCs w:val="16"/>
              </w:rPr>
            </w:pPr>
            <w:bookmarkStart w:id="0" w:name="_GoBack"/>
            <w:bookmarkEnd w:id="0"/>
          </w:p>
        </w:tc>
        <w:tc>
          <w:tcPr>
            <w:tcW w:w="1986" w:type="dxa"/>
          </w:tcPr>
          <w:p w:rsidR="00035F6E" w:rsidRPr="00C31532" w:rsidRDefault="00035F6E" w:rsidP="00035F6E">
            <w:pPr>
              <w:rPr>
                <w:rFonts w:ascii="Calibri" w:hAnsi="Calibri" w:cs="Calibri"/>
                <w:sz w:val="18"/>
                <w:szCs w:val="16"/>
              </w:rPr>
            </w:pPr>
          </w:p>
        </w:tc>
      </w:tr>
      <w:tr w:rsidR="00035F6E" w:rsidRPr="007C238C" w:rsidTr="00E72F8D">
        <w:trPr>
          <w:trHeight w:val="282"/>
        </w:trPr>
        <w:tc>
          <w:tcPr>
            <w:tcW w:w="992" w:type="dxa"/>
          </w:tcPr>
          <w:p w:rsidR="00035F6E" w:rsidRPr="000A23E8" w:rsidRDefault="00035F6E" w:rsidP="00035F6E">
            <w:pPr>
              <w:rPr>
                <w:rFonts w:ascii="Calibri" w:hAnsi="Calibri" w:cs="Calibri"/>
                <w:sz w:val="16"/>
                <w:szCs w:val="16"/>
              </w:rPr>
            </w:pPr>
          </w:p>
        </w:tc>
        <w:tc>
          <w:tcPr>
            <w:tcW w:w="1986" w:type="dxa"/>
          </w:tcPr>
          <w:p w:rsidR="00035F6E" w:rsidRPr="000A23E8" w:rsidRDefault="00035F6E" w:rsidP="00035F6E">
            <w:pPr>
              <w:rPr>
                <w:rFonts w:ascii="Calibri" w:hAnsi="Calibri" w:cs="Calibri"/>
                <w:sz w:val="16"/>
                <w:szCs w:val="16"/>
              </w:rPr>
            </w:pPr>
          </w:p>
        </w:tc>
      </w:tr>
      <w:tr w:rsidR="00035F6E" w:rsidRPr="007C238C" w:rsidTr="00E72F8D">
        <w:trPr>
          <w:trHeight w:val="301"/>
        </w:trPr>
        <w:tc>
          <w:tcPr>
            <w:tcW w:w="992" w:type="dxa"/>
          </w:tcPr>
          <w:p w:rsidR="00035F6E" w:rsidRPr="000A23E8" w:rsidRDefault="00035F6E" w:rsidP="00035F6E">
            <w:pPr>
              <w:rPr>
                <w:rFonts w:ascii="Calibri" w:hAnsi="Calibri" w:cs="Calibri"/>
                <w:sz w:val="16"/>
                <w:szCs w:val="16"/>
              </w:rPr>
            </w:pPr>
          </w:p>
        </w:tc>
        <w:tc>
          <w:tcPr>
            <w:tcW w:w="1986" w:type="dxa"/>
          </w:tcPr>
          <w:p w:rsidR="00035F6E" w:rsidRPr="000A23E8" w:rsidRDefault="00035F6E" w:rsidP="00C31532">
            <w:pPr>
              <w:rPr>
                <w:rFonts w:ascii="Calibri" w:hAnsi="Calibri" w:cs="Calibri"/>
                <w:sz w:val="16"/>
                <w:szCs w:val="16"/>
              </w:rPr>
            </w:pPr>
          </w:p>
        </w:tc>
      </w:tr>
      <w:tr w:rsidR="00035F6E" w:rsidRPr="007C238C" w:rsidTr="00E72F8D">
        <w:trPr>
          <w:trHeight w:val="276"/>
        </w:trPr>
        <w:tc>
          <w:tcPr>
            <w:tcW w:w="992" w:type="dxa"/>
          </w:tcPr>
          <w:p w:rsidR="00035F6E" w:rsidRPr="000A23E8" w:rsidRDefault="00035F6E" w:rsidP="00035F6E">
            <w:pPr>
              <w:rPr>
                <w:rFonts w:ascii="Calibri" w:hAnsi="Calibri" w:cs="Calibri"/>
                <w:sz w:val="16"/>
                <w:szCs w:val="16"/>
              </w:rPr>
            </w:pPr>
          </w:p>
        </w:tc>
        <w:tc>
          <w:tcPr>
            <w:tcW w:w="1986" w:type="dxa"/>
          </w:tcPr>
          <w:p w:rsidR="00035F6E" w:rsidRPr="000A23E8" w:rsidRDefault="00035F6E" w:rsidP="00035F6E">
            <w:pPr>
              <w:rPr>
                <w:rFonts w:ascii="Calibri" w:hAnsi="Calibri" w:cs="Calibri"/>
                <w:sz w:val="16"/>
                <w:szCs w:val="16"/>
              </w:rPr>
            </w:pPr>
          </w:p>
        </w:tc>
      </w:tr>
      <w:tr w:rsidR="00035F6E" w:rsidRPr="007C238C" w:rsidTr="00E72F8D">
        <w:trPr>
          <w:trHeight w:val="281"/>
        </w:trPr>
        <w:tc>
          <w:tcPr>
            <w:tcW w:w="992" w:type="dxa"/>
          </w:tcPr>
          <w:p w:rsidR="00035F6E" w:rsidRPr="000A23E8" w:rsidRDefault="00035F6E" w:rsidP="00035F6E">
            <w:pPr>
              <w:rPr>
                <w:rFonts w:ascii="Calibri" w:hAnsi="Calibri" w:cs="Calibri"/>
                <w:sz w:val="16"/>
                <w:szCs w:val="16"/>
              </w:rPr>
            </w:pPr>
          </w:p>
        </w:tc>
        <w:tc>
          <w:tcPr>
            <w:tcW w:w="1986" w:type="dxa"/>
          </w:tcPr>
          <w:p w:rsidR="00035F6E" w:rsidRPr="000A23E8" w:rsidRDefault="00035F6E" w:rsidP="00035F6E">
            <w:pPr>
              <w:rPr>
                <w:rFonts w:ascii="Calibri" w:hAnsi="Calibri" w:cs="Calibri"/>
                <w:sz w:val="16"/>
                <w:szCs w:val="16"/>
              </w:rPr>
            </w:pPr>
          </w:p>
        </w:tc>
      </w:tr>
      <w:tr w:rsidR="00035F6E" w:rsidRPr="007C238C" w:rsidTr="00E72F8D">
        <w:trPr>
          <w:trHeight w:val="269"/>
        </w:trPr>
        <w:tc>
          <w:tcPr>
            <w:tcW w:w="993" w:type="dxa"/>
          </w:tcPr>
          <w:p w:rsidR="00035F6E" w:rsidRPr="00FC06BE" w:rsidRDefault="00035F6E" w:rsidP="00035F6E">
            <w:pPr>
              <w:rPr>
                <w:rFonts w:ascii="Calibri" w:hAnsi="Calibri" w:cs="Calibri"/>
                <w:sz w:val="18"/>
                <w:szCs w:val="18"/>
              </w:rPr>
            </w:pPr>
          </w:p>
        </w:tc>
        <w:tc>
          <w:tcPr>
            <w:tcW w:w="1985" w:type="dxa"/>
          </w:tcPr>
          <w:p w:rsidR="00035F6E" w:rsidRPr="00F27534" w:rsidRDefault="00035F6E" w:rsidP="00035F6E">
            <w:pPr>
              <w:rPr>
                <w:rFonts w:ascii="Calibri" w:hAnsi="Calibri" w:cs="Calibri"/>
                <w:sz w:val="18"/>
                <w:szCs w:val="18"/>
              </w:rPr>
            </w:pPr>
          </w:p>
        </w:tc>
      </w:tr>
      <w:tr w:rsidR="00035F6E" w:rsidRPr="007C238C" w:rsidTr="00E72F8D">
        <w:trPr>
          <w:trHeight w:val="335"/>
        </w:trPr>
        <w:tc>
          <w:tcPr>
            <w:tcW w:w="2978" w:type="dxa"/>
            <w:gridSpan w:val="2"/>
          </w:tcPr>
          <w:p w:rsidR="00035F6E" w:rsidRPr="00F27534" w:rsidRDefault="00035F6E" w:rsidP="00035F6E">
            <w:pPr>
              <w:rPr>
                <w:rFonts w:ascii="Calibri" w:hAnsi="Calibri" w:cs="Calibri"/>
                <w:sz w:val="18"/>
                <w:szCs w:val="18"/>
              </w:rPr>
            </w:pPr>
          </w:p>
        </w:tc>
      </w:tr>
    </w:tbl>
    <w:p w:rsidR="00035F6E" w:rsidRPr="005113CC" w:rsidRDefault="00C31532" w:rsidP="00035F6E">
      <w:pPr>
        <w:pStyle w:val="Brevtypeangivelse"/>
        <w:rPr>
          <w:color w:val="auto"/>
        </w:rPr>
      </w:pPr>
      <w:r>
        <w:rPr>
          <w:color w:val="auto"/>
        </w:rPr>
        <w:t>Forretningsorden for Sundhedssamarbejdsudvalget</w:t>
      </w:r>
    </w:p>
    <w:p w:rsidR="00035F6E" w:rsidRDefault="00035F6E" w:rsidP="00035F6E">
      <w:pPr>
        <w:rPr>
          <w:rFonts w:ascii="Calibri" w:hAnsi="Calibri" w:cs="Calibri"/>
        </w:rPr>
      </w:pPr>
    </w:p>
    <w:p w:rsidR="00035F6E" w:rsidRDefault="00035F6E" w:rsidP="00035F6E">
      <w:pPr>
        <w:rPr>
          <w:rFonts w:ascii="Calibri" w:hAnsi="Calibri" w:cs="Calibri"/>
        </w:rPr>
      </w:pPr>
    </w:p>
    <w:p w:rsidR="00035F6E" w:rsidRDefault="00035F6E" w:rsidP="00035F6E">
      <w:pPr>
        <w:pStyle w:val="Overskrift1"/>
      </w:pPr>
    </w:p>
    <w:p w:rsidR="00D37C30" w:rsidRDefault="00F9090D" w:rsidP="00D37C30">
      <w:pPr>
        <w:pStyle w:val="Overskrift1"/>
        <w:spacing w:after="240"/>
      </w:pPr>
      <w:r>
        <w:t>Ramme</w:t>
      </w:r>
    </w:p>
    <w:p w:rsidR="00D37C30" w:rsidRPr="0049769D" w:rsidRDefault="00F9090D" w:rsidP="00D37C30">
      <w:pPr>
        <w:rPr>
          <w:rFonts w:cs="Arial"/>
        </w:rPr>
      </w:pPr>
      <w:r w:rsidRPr="00F9090D">
        <w:t>I henhold til Sundhedslovens § 204 stk. 1</w:t>
      </w:r>
      <w:r>
        <w:t xml:space="preserve"> </w:t>
      </w:r>
      <w:r w:rsidR="00D37C30">
        <w:rPr>
          <w:rFonts w:cs="Arial"/>
        </w:rPr>
        <w:t>samt bekendtgørelse nr. 1248 af 5. september 2022 om sundhedsklynger, sundhedssamarbejdsudvalg, sundhedsaftal</w:t>
      </w:r>
      <w:r>
        <w:rPr>
          <w:rFonts w:cs="Arial"/>
        </w:rPr>
        <w:t xml:space="preserve">er og patientinddragelsesudvalg, </w:t>
      </w:r>
      <w:r w:rsidRPr="00F9090D">
        <w:rPr>
          <w:rFonts w:cs="Arial"/>
        </w:rPr>
        <w:t>nedsætter Regionsrådet i samarbejde med kommunalbestyrelser i regionen et sundhedskoor</w:t>
      </w:r>
      <w:r>
        <w:rPr>
          <w:rFonts w:cs="Arial"/>
        </w:rPr>
        <w:softHyphen/>
      </w:r>
      <w:r w:rsidRPr="00F9090D">
        <w:rPr>
          <w:rFonts w:cs="Arial"/>
        </w:rPr>
        <w:t>di</w:t>
      </w:r>
      <w:r>
        <w:rPr>
          <w:rFonts w:cs="Arial"/>
        </w:rPr>
        <w:softHyphen/>
      </w:r>
      <w:r w:rsidRPr="00F9090D">
        <w:rPr>
          <w:rFonts w:cs="Arial"/>
        </w:rPr>
        <w:t>nations</w:t>
      </w:r>
      <w:r>
        <w:rPr>
          <w:rFonts w:cs="Arial"/>
        </w:rPr>
        <w:softHyphen/>
      </w:r>
      <w:r>
        <w:rPr>
          <w:rFonts w:cs="Arial"/>
        </w:rPr>
        <w:softHyphen/>
      </w:r>
      <w:r w:rsidRPr="00F9090D">
        <w:rPr>
          <w:rFonts w:cs="Arial"/>
        </w:rPr>
        <w:t>udvalg.</w:t>
      </w:r>
    </w:p>
    <w:p w:rsidR="00035F6E" w:rsidRDefault="00035F6E" w:rsidP="00035F6E"/>
    <w:p w:rsidR="00D37C30" w:rsidRDefault="00D37C30" w:rsidP="00035F6E"/>
    <w:p w:rsidR="00DC6461" w:rsidRDefault="00D37C30" w:rsidP="00F9090D">
      <w:pPr>
        <w:pStyle w:val="Overskrift1"/>
        <w:spacing w:after="240"/>
      </w:pPr>
      <w:r>
        <w:t>Formål</w:t>
      </w:r>
    </w:p>
    <w:p w:rsidR="00F9090D" w:rsidRDefault="00DC6461" w:rsidP="000D3CDB">
      <w:r>
        <w:t xml:space="preserve">Sundhedssamarbejdsudvalget koordinerer og sætter retning for arbejdet på tværs af sundhedsklyngerne i regionen. </w:t>
      </w:r>
    </w:p>
    <w:p w:rsidR="00F9090D" w:rsidRDefault="00F9090D" w:rsidP="000D3CDB"/>
    <w:p w:rsidR="00035F6E" w:rsidRDefault="00DC6461" w:rsidP="000D3CDB">
      <w:r>
        <w:t>Sundhedssamarbejdsudvalgets drøftelser og beslutninger fungerer som retningssættende og som oplæg til sundhedsklyngernes mere patient- og borgernære drøftelser og beslutninger, der tager udgangspunkt i den enkelte sundhedsklynges behov og ønsker.</w:t>
      </w:r>
    </w:p>
    <w:p w:rsidR="00035F6E" w:rsidRDefault="00035F6E" w:rsidP="00035F6E"/>
    <w:p w:rsidR="00035F6E" w:rsidRDefault="00035F6E" w:rsidP="00035F6E"/>
    <w:p w:rsidR="00035F6E" w:rsidRDefault="00F9090D" w:rsidP="00131D2C">
      <w:pPr>
        <w:pStyle w:val="Overskrift1"/>
        <w:spacing w:after="240"/>
      </w:pPr>
      <w:r>
        <w:t>Sammensætning</w:t>
      </w:r>
    </w:p>
    <w:p w:rsidR="00C02F95" w:rsidRPr="00C02F95" w:rsidRDefault="00C02F95" w:rsidP="00035F6E">
      <w:pPr>
        <w:rPr>
          <w:b/>
        </w:rPr>
      </w:pPr>
      <w:r w:rsidRPr="00C02F95">
        <w:rPr>
          <w:b/>
        </w:rPr>
        <w:t xml:space="preserve">§ 1. </w:t>
      </w:r>
    </w:p>
    <w:p w:rsidR="00C02F95" w:rsidRDefault="00C02F95" w:rsidP="00035F6E">
      <w:r>
        <w:t xml:space="preserve">Sundhedssamarbejdsudvalget består af repræsentanter for regionsrådet, heriblandt regionsrådsformanden, en borgmester fra hver sundhedsklynge, som samtidig er den kommunale formand i sundhedsklyngen, og repræsentanter for almen praksis jf. §204, stk. 1 i Sundhedsloven. </w:t>
      </w:r>
    </w:p>
    <w:p w:rsidR="00C02F95" w:rsidRDefault="00C02F95" w:rsidP="00035F6E">
      <w:r>
        <w:t xml:space="preserve">Den nærmere sammensætning aftales mellem regionsrådet og kommunekontaktrådet i regionen. </w:t>
      </w:r>
    </w:p>
    <w:p w:rsidR="00C02F95" w:rsidRDefault="00C02F95" w:rsidP="00035F6E"/>
    <w:p w:rsidR="00C02F95" w:rsidRDefault="00C02F95" w:rsidP="00035F6E">
      <w:r>
        <w:t>Udvalget har følgende sammensætning:</w:t>
      </w:r>
    </w:p>
    <w:p w:rsidR="00C02F95" w:rsidRDefault="00C02F95" w:rsidP="00035F6E">
      <w:r>
        <w:sym w:font="Symbol" w:char="F0B7"/>
      </w:r>
      <w:r>
        <w:t xml:space="preserve"> 5 medlemmer udpeget af regionsrådet</w:t>
      </w:r>
    </w:p>
    <w:p w:rsidR="00C02F95" w:rsidRDefault="00C02F95" w:rsidP="00035F6E">
      <w:r>
        <w:sym w:font="Symbol" w:char="F0B7"/>
      </w:r>
      <w:r>
        <w:t xml:space="preserve"> 5 medlemmer udpeget af kommunekontaktrådet i regionen</w:t>
      </w:r>
    </w:p>
    <w:p w:rsidR="00C02F95" w:rsidRDefault="00C02F95" w:rsidP="00035F6E">
      <w:r>
        <w:sym w:font="Symbol" w:char="F0B7"/>
      </w:r>
      <w:r>
        <w:t xml:space="preserve"> 2 medlemmer udpeget af PLO-Syd</w:t>
      </w:r>
    </w:p>
    <w:p w:rsidR="00C02F95" w:rsidRDefault="00C02F95" w:rsidP="00035F6E"/>
    <w:p w:rsidR="0084672F" w:rsidRDefault="0084672F" w:rsidP="00035F6E"/>
    <w:p w:rsidR="00C02F95" w:rsidRPr="00C02F95" w:rsidRDefault="00C02F95" w:rsidP="00035F6E">
      <w:pPr>
        <w:rPr>
          <w:b/>
        </w:rPr>
      </w:pPr>
      <w:r w:rsidRPr="00C02F95">
        <w:rPr>
          <w:b/>
        </w:rPr>
        <w:t xml:space="preserve">§ 2. </w:t>
      </w:r>
    </w:p>
    <w:p w:rsidR="008068EB" w:rsidRDefault="00C02F95" w:rsidP="00035F6E">
      <w:r>
        <w:t>Formandskabet i Sundhedssamarbejdsudvalget varetages af en formand, som vælges blandt regionsrådets repræsentanter, og en næstformand, som vælges blandt de borgmestre, der er medlemmer af Sundhedssamarbejdsudvalget jf. §204 stk. 2 i sundhedsloven.</w:t>
      </w:r>
    </w:p>
    <w:p w:rsidR="008068EB" w:rsidRDefault="008068EB" w:rsidP="00035F6E"/>
    <w:p w:rsidR="008068EB" w:rsidRPr="008068EB" w:rsidRDefault="00C02F95" w:rsidP="00035F6E">
      <w:pPr>
        <w:rPr>
          <w:b/>
        </w:rPr>
      </w:pPr>
      <w:r w:rsidRPr="008068EB">
        <w:rPr>
          <w:b/>
        </w:rPr>
        <w:lastRenderedPageBreak/>
        <w:t xml:space="preserve">§ 3. </w:t>
      </w:r>
    </w:p>
    <w:p w:rsidR="008068EB" w:rsidRDefault="00C02F95" w:rsidP="00035F6E">
      <w:r>
        <w:t>Regionsrådet og kommunalbestyrelserne i regionen sekretariatsbetjener i samarbejde Sundhedssamarbejdsudvalget, herunder forberedelsen af udva</w:t>
      </w:r>
      <w:r w:rsidR="008068EB">
        <w:t>lgets møder jf. §204, stk. 2 i S</w:t>
      </w:r>
      <w:r>
        <w:t xml:space="preserve">undhedsloven. </w:t>
      </w:r>
    </w:p>
    <w:p w:rsidR="008068EB" w:rsidRDefault="008068EB" w:rsidP="00035F6E"/>
    <w:p w:rsidR="008068EB" w:rsidRPr="008068EB" w:rsidRDefault="00C02F95" w:rsidP="00035F6E">
      <w:pPr>
        <w:rPr>
          <w:b/>
        </w:rPr>
      </w:pPr>
      <w:r w:rsidRPr="008068EB">
        <w:rPr>
          <w:b/>
        </w:rPr>
        <w:t xml:space="preserve">§ 4. </w:t>
      </w:r>
    </w:p>
    <w:p w:rsidR="00035F6E" w:rsidRDefault="00C02F95" w:rsidP="00035F6E">
      <w:r>
        <w:t>Funktionsperioden for udvalget følger kommunalbestyrelsernes og regionsrådets valgperiode.</w:t>
      </w:r>
      <w:r w:rsidR="00035F6E">
        <w:t xml:space="preserve"> </w:t>
      </w:r>
    </w:p>
    <w:p w:rsidR="008068EB" w:rsidRDefault="008068EB" w:rsidP="00035F6E"/>
    <w:p w:rsidR="00C75E03" w:rsidRPr="00C75E03" w:rsidRDefault="00C75E03" w:rsidP="00035F6E">
      <w:pPr>
        <w:rPr>
          <w:b/>
        </w:rPr>
      </w:pPr>
      <w:r w:rsidRPr="00C75E03">
        <w:rPr>
          <w:b/>
        </w:rPr>
        <w:t xml:space="preserve">§ 5. </w:t>
      </w:r>
    </w:p>
    <w:p w:rsidR="008068EB" w:rsidRDefault="00C75E03" w:rsidP="00035F6E">
      <w:r>
        <w:t>Sundhedssamarbejdsudvalget kan nedsætte underudvalg og arbejdsgrupper, bl.a. med henblik på faglig rådgivning af Sundhedssamarbejdsudvalget.</w:t>
      </w:r>
    </w:p>
    <w:p w:rsidR="00C75E03" w:rsidRPr="009D0E49" w:rsidRDefault="00C75E03" w:rsidP="00035F6E"/>
    <w:p w:rsidR="00035F6E" w:rsidRDefault="00035F6E" w:rsidP="00035F6E"/>
    <w:p w:rsidR="00035F6E" w:rsidRDefault="008068EB" w:rsidP="00035F6E">
      <w:pPr>
        <w:pStyle w:val="Overskrift1"/>
        <w:spacing w:after="240"/>
      </w:pPr>
      <w:r>
        <w:t>Opgaver</w:t>
      </w:r>
    </w:p>
    <w:p w:rsidR="000C1592" w:rsidRDefault="000C1592" w:rsidP="00035F6E">
      <w:r>
        <w:t xml:space="preserve">§ 6. </w:t>
      </w:r>
      <w:r>
        <w:br/>
        <w:t xml:space="preserve">Sundhedssamarbejdsudvalgets opgaver er beskrevet i Sundhedsloven og bekendtgørelsen. </w:t>
      </w:r>
      <w:r>
        <w:br/>
      </w:r>
    </w:p>
    <w:p w:rsidR="000C1592" w:rsidRDefault="000C1592" w:rsidP="00035F6E">
      <w:r>
        <w:t>Opgaverne for Sundhedssamarbejdsudvalget er bl.a. at:</w:t>
      </w:r>
    </w:p>
    <w:p w:rsidR="000C1592" w:rsidRDefault="000C1592" w:rsidP="00035F6E"/>
    <w:p w:rsidR="0084672F" w:rsidRDefault="000C1592" w:rsidP="00035F6E">
      <w:pPr>
        <w:pStyle w:val="Listeafsnit"/>
        <w:numPr>
          <w:ilvl w:val="0"/>
          <w:numId w:val="22"/>
        </w:numPr>
      </w:pPr>
      <w:r>
        <w:t>Understøtte samarbejdet på tværs af sundhedsvæsenet og understøtte, at der skabes sammenhæng for bl.a. ældre medicinske patienter, borgere med kroniske sygdomme og borgere med psykiske lidelser, herunder borgere, som ud over en psykisk lidelse har et alkohol- eller stofmisbrug, der har forløb på tværs af sygehuse, praksissektor og kommunale tilbud</w:t>
      </w:r>
      <w:r w:rsidR="0084672F">
        <w:t xml:space="preserve"> eller har forløb på tværs af sundhedsklyngerne</w:t>
      </w:r>
      <w:r w:rsidR="0084672F">
        <w:br/>
      </w:r>
    </w:p>
    <w:p w:rsidR="0084672F" w:rsidRDefault="000C1592" w:rsidP="0084672F">
      <w:pPr>
        <w:pStyle w:val="Listeafsnit"/>
        <w:numPr>
          <w:ilvl w:val="0"/>
          <w:numId w:val="22"/>
        </w:numPr>
      </w:pPr>
      <w:r>
        <w:t>Drøfte emner, der er relevante for sammenhængen i forløb mellem sygehuse, praksissektor og kommunale tilbud, herunder fælles funktioner samt koordinering og prioritering af midler til sammenhængende løsninger på sundhedsområdet</w:t>
      </w:r>
      <w:r w:rsidR="0084672F">
        <w:br/>
      </w:r>
    </w:p>
    <w:p w:rsidR="0084672F" w:rsidRDefault="000C1592" w:rsidP="0084672F">
      <w:pPr>
        <w:pStyle w:val="Listeafsnit"/>
        <w:numPr>
          <w:ilvl w:val="0"/>
          <w:numId w:val="22"/>
        </w:numPr>
      </w:pPr>
      <w:r>
        <w:t>Fastlægge fælles rammer og retning for udviklingen af det tværsektorielle samarbejde og samarbejdet på tværs af regionens sundhedsklynger f. eks. samarbejdet mellem regioner, kommuner og almen praksis</w:t>
      </w:r>
      <w:r w:rsidR="0084672F">
        <w:br/>
      </w:r>
    </w:p>
    <w:p w:rsidR="0084672F" w:rsidRDefault="000C1592" w:rsidP="0084672F">
      <w:pPr>
        <w:pStyle w:val="Listeafsnit"/>
        <w:numPr>
          <w:ilvl w:val="0"/>
          <w:numId w:val="22"/>
        </w:numPr>
      </w:pPr>
      <w:r>
        <w:t xml:space="preserve">Understøtte at nationale handleplaner mv. implementeres på tværs </w:t>
      </w:r>
      <w:r w:rsidR="0084672F">
        <w:t>af sundhedsklyngerne i regionen</w:t>
      </w:r>
      <w:r w:rsidR="0084672F">
        <w:br/>
      </w:r>
    </w:p>
    <w:p w:rsidR="0084672F" w:rsidRDefault="000C1592" w:rsidP="0084672F">
      <w:pPr>
        <w:pStyle w:val="Listeafsnit"/>
        <w:numPr>
          <w:ilvl w:val="0"/>
          <w:numId w:val="22"/>
        </w:numPr>
      </w:pPr>
      <w:r>
        <w:t>Drøfte sundhedsklyngernes udviklingstiltag og evt. indstille veldokumenterede tiltag til udbredelse på tværs af sundhedskl</w:t>
      </w:r>
      <w:r w:rsidR="0084672F">
        <w:t>ynger eller på nationalt niveau</w:t>
      </w:r>
      <w:r w:rsidR="0084672F">
        <w:br/>
      </w:r>
    </w:p>
    <w:p w:rsidR="00740FEB" w:rsidRDefault="000C1592" w:rsidP="0084672F">
      <w:pPr>
        <w:pStyle w:val="Listeafsnit"/>
        <w:numPr>
          <w:ilvl w:val="0"/>
          <w:numId w:val="22"/>
        </w:numPr>
      </w:pPr>
      <w:r>
        <w:t xml:space="preserve">Udarbejde udkast til sundhedsaftale bl.a. med afsæt </w:t>
      </w:r>
      <w:r w:rsidR="0084672F">
        <w:t>i de nationale mål for sundheds</w:t>
      </w:r>
      <w:r>
        <w:t xml:space="preserve">området, </w:t>
      </w:r>
      <w:r w:rsidR="0084672F">
        <w:t xml:space="preserve">at opstille </w:t>
      </w:r>
      <w:r>
        <w:t>fælles forpligtende målsætninger for udviklingen af sundhedsområdet generelt i regionen samt for de områder og målgrupper, som sundhedssamarbejdsudvalget beslutter at indgå aftale om</w:t>
      </w:r>
      <w:r w:rsidR="0084672F">
        <w:t xml:space="preserve"> samt løbende at følge op på disse aftaler.</w:t>
      </w:r>
    </w:p>
    <w:p w:rsidR="00FD4256" w:rsidRDefault="00FD4256" w:rsidP="00035F6E"/>
    <w:p w:rsidR="00035F6E" w:rsidRDefault="00035F6E" w:rsidP="00035F6E"/>
    <w:p w:rsidR="00035F6E" w:rsidRDefault="008068EB" w:rsidP="00035F6E">
      <w:pPr>
        <w:pStyle w:val="Overskrift1"/>
        <w:spacing w:after="240"/>
      </w:pPr>
      <w:r>
        <w:t>Patientinddragelsesudvalget</w:t>
      </w:r>
    </w:p>
    <w:p w:rsidR="00D22F52" w:rsidRPr="00D22F52" w:rsidRDefault="00D22F52" w:rsidP="00095D7C">
      <w:pPr>
        <w:rPr>
          <w:b/>
        </w:rPr>
      </w:pPr>
      <w:r w:rsidRPr="00D22F52">
        <w:rPr>
          <w:b/>
        </w:rPr>
        <w:t>§ 7</w:t>
      </w:r>
    </w:p>
    <w:p w:rsidR="005A2867" w:rsidRDefault="00D22F52" w:rsidP="00095D7C">
      <w:r>
        <w:t>I hver region nedsættes et patientinddragelsesudvalg, som Sundhedssamarbejdsudvalget systematisk inddrager i deres drøftelser jf. §204, stk. 3 i sundhedsloven samt §§ 28 og 29 i bekendtgørelsen.</w:t>
      </w:r>
      <w:r>
        <w:br/>
      </w:r>
      <w:r>
        <w:lastRenderedPageBreak/>
        <w:t>Patientinddragelsesudvalget skal systematisk inddrages i drøftelsen af emner, der ligger indenfor Sundhedssamarbejdsudvalgets emneområder, jfr. bekendtgørelsens § 16, stk. 5 samt § 29.</w:t>
      </w:r>
    </w:p>
    <w:p w:rsidR="00D22F52" w:rsidRDefault="00D22F52" w:rsidP="00095D7C"/>
    <w:p w:rsidR="00D22F52" w:rsidRDefault="00D22F52" w:rsidP="00095D7C"/>
    <w:p w:rsidR="00D22F52" w:rsidRDefault="00D22F52" w:rsidP="00D22F52">
      <w:pPr>
        <w:pStyle w:val="Overskrift1"/>
        <w:spacing w:after="240"/>
      </w:pPr>
      <w:r>
        <w:t>Udvalgets møder</w:t>
      </w:r>
    </w:p>
    <w:p w:rsidR="00AD578A" w:rsidRDefault="00AD578A" w:rsidP="00D22F52">
      <w:r w:rsidRPr="00AD578A">
        <w:rPr>
          <w:b/>
        </w:rPr>
        <w:t>§ 8.</w:t>
      </w:r>
      <w:r>
        <w:t xml:space="preserve"> </w:t>
      </w:r>
      <w:r>
        <w:br/>
        <w:t>Møder i Sundhedssamarbejdsudvalget er ikke åbne for offentligheden. Sundhedssamarbejdsudvalget kan tillade andre personer at overvære en sags behandling, når det er ønskeligt af hensyn til en sags oplysning eller drøftelserne i udvalget.</w:t>
      </w:r>
    </w:p>
    <w:p w:rsidR="00AD578A" w:rsidRDefault="00AD578A" w:rsidP="00D22F52"/>
    <w:p w:rsidR="00AD578A" w:rsidRDefault="00AD578A" w:rsidP="00D22F52">
      <w:r w:rsidRPr="00AD578A">
        <w:rPr>
          <w:b/>
        </w:rPr>
        <w:t>§ 9.</w:t>
      </w:r>
      <w:r>
        <w:t xml:space="preserve"> Sundhedssamarbejdsudvalget skal afholde mindst fire møder om året, jf. bekendtgørelsens § 16, stk. 2.</w:t>
      </w:r>
    </w:p>
    <w:p w:rsidR="00AD578A" w:rsidRDefault="00AD578A" w:rsidP="00D22F52"/>
    <w:p w:rsidR="00AD578A" w:rsidRDefault="00AD578A" w:rsidP="00D22F52">
      <w:r w:rsidRPr="00AD578A">
        <w:rPr>
          <w:b/>
        </w:rPr>
        <w:t>§ 9 stk. 2.</w:t>
      </w:r>
      <w:r>
        <w:t xml:space="preserve"> Er et medlem forhindret i at deltage i et møde i udvalget, meddeler vedkommende dette til formanden eller udvalgets sekretær. Det angives i mødereferatet, hvem der har deltaget i mødet.</w:t>
      </w:r>
    </w:p>
    <w:p w:rsidR="00AD578A" w:rsidRDefault="00AD578A" w:rsidP="00D22F52"/>
    <w:p w:rsidR="00D22F52" w:rsidRPr="00D22F52" w:rsidRDefault="00AD578A" w:rsidP="00D22F52">
      <w:r w:rsidRPr="00AD578A">
        <w:rPr>
          <w:b/>
        </w:rPr>
        <w:t>§ 9 stk. 3.</w:t>
      </w:r>
      <w:r>
        <w:t xml:space="preserve"> Formanden indkalder medlemmerne af Sundhedssamarbejdsudvalget til møde på forud fastlagte dage. Mødeplanen fastlægges for et år ad gangen. </w:t>
      </w:r>
    </w:p>
    <w:p w:rsidR="00D22F52" w:rsidRPr="00095D7C" w:rsidRDefault="00D22F52" w:rsidP="00095D7C"/>
    <w:p w:rsidR="00D14495" w:rsidRPr="00262F1D" w:rsidRDefault="003E2352" w:rsidP="00035F6E">
      <w:pPr>
        <w:rPr>
          <w:b/>
        </w:rPr>
      </w:pPr>
      <w:r w:rsidRPr="00262F1D">
        <w:rPr>
          <w:b/>
        </w:rPr>
        <w:t xml:space="preserve">§ 9 stk. 4. </w:t>
      </w:r>
    </w:p>
    <w:p w:rsidR="00D14495" w:rsidRDefault="00262F1D" w:rsidP="00035F6E">
      <w:r>
        <w:t>Når et medlem senest 10</w:t>
      </w:r>
      <w:r w:rsidR="003E2352">
        <w:t xml:space="preserve"> hverdage forud for et møde skriftligt fremsætter forslag om emner, der ønskes drøftet på mødet, sætter formanden emnerne på dagsordenen for det førstkommende møde. </w:t>
      </w:r>
    </w:p>
    <w:p w:rsidR="00D14495" w:rsidRDefault="00D14495" w:rsidP="00035F6E"/>
    <w:p w:rsidR="002C5A37" w:rsidRDefault="003E2352" w:rsidP="00035F6E">
      <w:r w:rsidRPr="002C5A37">
        <w:rPr>
          <w:b/>
        </w:rPr>
        <w:t>§ 9 stk. 5</w:t>
      </w:r>
      <w:r>
        <w:t>.</w:t>
      </w:r>
    </w:p>
    <w:p w:rsidR="00D14495" w:rsidRDefault="003E2352" w:rsidP="00035F6E">
      <w:r>
        <w:t>Dagsorden til møderne i Sundhedssamarbejdsudvalget fremsend</w:t>
      </w:r>
      <w:r w:rsidR="002C5A37">
        <w:t>es som hovedregel til udvalget 7</w:t>
      </w:r>
      <w:r>
        <w:t xml:space="preserve"> dage forud for mødet. Dagsordenen bilægges det nødvendige materiale som grundlag for behandling af sagerne. Materialet gøres samt</w:t>
      </w:r>
      <w:r w:rsidR="00D14495">
        <w:t>idig tilgængeligt i FirstAgenda.</w:t>
      </w:r>
    </w:p>
    <w:p w:rsidR="00D14495" w:rsidRDefault="00D14495" w:rsidP="00035F6E"/>
    <w:p w:rsidR="002C5A37" w:rsidRDefault="003E2352" w:rsidP="00035F6E">
      <w:r w:rsidRPr="002C5A37">
        <w:rPr>
          <w:b/>
        </w:rPr>
        <w:t>§ 9 stk. 6.</w:t>
      </w:r>
      <w:r>
        <w:t xml:space="preserve"> Undtagelser til § 9 stk. 5, hvor udsendelse af dagsordenen eller bilagsmateriale på grund af sagens oplysning forsinkes, meddeles udvalgets medlemmer en uge forud for mødet. Ligesom det oplyses udvalgets medlemmer, hvornår dagsorden og bilag forventes modtaget.</w:t>
      </w:r>
    </w:p>
    <w:p w:rsidR="002C5A37" w:rsidRDefault="002C5A37" w:rsidP="00035F6E"/>
    <w:p w:rsidR="002C5A37" w:rsidRDefault="003E2352" w:rsidP="00035F6E">
      <w:r w:rsidRPr="002C5A37">
        <w:rPr>
          <w:b/>
        </w:rPr>
        <w:t>§ 9 stk. 7.</w:t>
      </w:r>
      <w:r>
        <w:t xml:space="preserve"> Den offentlige dagsorden inklusiv bilag offentliggøres på Region </w:t>
      </w:r>
      <w:r w:rsidR="002C5A37">
        <w:t>Syddanmarks</w:t>
      </w:r>
      <w:r>
        <w:t xml:space="preserve"> hjemmeside.</w:t>
      </w:r>
    </w:p>
    <w:p w:rsidR="002C5A37" w:rsidRDefault="002C5A37" w:rsidP="00035F6E"/>
    <w:p w:rsidR="002C5A37" w:rsidRPr="002C5A37" w:rsidRDefault="003E2352" w:rsidP="00035F6E">
      <w:pPr>
        <w:rPr>
          <w:b/>
        </w:rPr>
      </w:pPr>
      <w:r w:rsidRPr="002C5A37">
        <w:rPr>
          <w:b/>
        </w:rPr>
        <w:t xml:space="preserve">§ 10. </w:t>
      </w:r>
    </w:p>
    <w:p w:rsidR="00035F6E" w:rsidRPr="00BD0DCB" w:rsidRDefault="008D5AFA" w:rsidP="00035F6E">
      <w:r w:rsidRPr="007C5875">
        <w:t>Ekstraordinært møde afholdes efter formandens bestemmelse, eller når mindst 3 medlemmer begærer det.</w:t>
      </w:r>
      <w:r w:rsidR="007C5875">
        <w:br/>
        <w:t>Ved indkaldelse til ekstraordinært møde giver formanden medlemmerne underretning om mødets dagsorden samt i videst muligt omfang materiale til sagens behandling.</w:t>
      </w:r>
    </w:p>
    <w:p w:rsidR="00035F6E" w:rsidRDefault="00035F6E" w:rsidP="00035F6E"/>
    <w:p w:rsidR="00EA6635" w:rsidRDefault="00EA6635" w:rsidP="00035F6E"/>
    <w:p w:rsidR="008D5AFA" w:rsidRDefault="008D5AFA" w:rsidP="008D5AFA">
      <w:pPr>
        <w:pStyle w:val="Overskrift1"/>
        <w:spacing w:after="240"/>
      </w:pPr>
      <w:r>
        <w:t>Mødeledelse og beslutningsdygtighed</w:t>
      </w:r>
    </w:p>
    <w:p w:rsidR="00EA6635" w:rsidRDefault="00EA6635" w:rsidP="00035F6E">
      <w:r w:rsidRPr="00EA6635">
        <w:rPr>
          <w:b/>
        </w:rPr>
        <w:t>§ 11.</w:t>
      </w:r>
      <w:r>
        <w:t xml:space="preserve"> </w:t>
      </w:r>
      <w:r>
        <w:br/>
        <w:t xml:space="preserve">Formand og næstformand leder på skift Sundhedssamarbejdsudvalgets møder. </w:t>
      </w:r>
      <w:r>
        <w:br/>
        <w:t>Ved formandens forfald fungerer næstformanden som formand.</w:t>
      </w:r>
    </w:p>
    <w:p w:rsidR="00EA6635" w:rsidRDefault="00EA6635" w:rsidP="00035F6E"/>
    <w:p w:rsidR="00EA6635" w:rsidRDefault="00EA6635" w:rsidP="00035F6E">
      <w:r w:rsidRPr="00EA6635">
        <w:rPr>
          <w:b/>
        </w:rPr>
        <w:t>§ 11 stk. 2</w:t>
      </w:r>
      <w:r>
        <w:t>. Ethvert medlem kan ved mødets begyndelse begære ordet til dagsordenen.</w:t>
      </w:r>
    </w:p>
    <w:p w:rsidR="00EA6635" w:rsidRDefault="00EA6635" w:rsidP="00035F6E"/>
    <w:p w:rsidR="00EA6635" w:rsidRDefault="00EA6635" w:rsidP="00035F6E">
      <w:r w:rsidRPr="00EA6635">
        <w:rPr>
          <w:b/>
        </w:rPr>
        <w:lastRenderedPageBreak/>
        <w:t>§ 11 stk. 3.</w:t>
      </w:r>
      <w:r>
        <w:t xml:space="preserve"> Ønsker et medlem ændringer eller tilføjelser af emner på dagsordenen, godkender udvalget ændring af dagsordenen for mødet.</w:t>
      </w:r>
    </w:p>
    <w:p w:rsidR="00EA6635" w:rsidRDefault="00EA6635" w:rsidP="00035F6E"/>
    <w:p w:rsidR="00EA6635" w:rsidRDefault="00EA6635" w:rsidP="00035F6E">
      <w:r w:rsidRPr="00EA6635">
        <w:rPr>
          <w:b/>
        </w:rPr>
        <w:t>§ 12.</w:t>
      </w:r>
      <w:r>
        <w:t xml:space="preserve"> Sundhedssamarbejdsudvalget er beslutningsdygtigt, når mindst halvdelen af medlemmerne er til stede, dog således at både kommuner og region er repræsenteret. For punkter der vedrører almen praksis gælder, at PLO-Syddanmark skal være repræsenteret.</w:t>
      </w:r>
    </w:p>
    <w:p w:rsidR="00EA6635" w:rsidRDefault="00EA6635" w:rsidP="00035F6E"/>
    <w:p w:rsidR="00EA6635" w:rsidRPr="00EA6635" w:rsidRDefault="00EA6635" w:rsidP="00035F6E">
      <w:pPr>
        <w:rPr>
          <w:b/>
        </w:rPr>
      </w:pPr>
      <w:r w:rsidRPr="00EA6635">
        <w:rPr>
          <w:b/>
        </w:rPr>
        <w:t xml:space="preserve">§ 13. </w:t>
      </w:r>
    </w:p>
    <w:p w:rsidR="00EA6635" w:rsidRDefault="00EA6635" w:rsidP="00035F6E">
      <w:r>
        <w:t>Der kan kun træffes beslutninger om forhold, der er optaget på den udsendte dagsorden, eller hvis alle tilstedeværende medlemmer er enige herom.</w:t>
      </w:r>
    </w:p>
    <w:p w:rsidR="00EA6635" w:rsidRDefault="00EA6635" w:rsidP="00035F6E"/>
    <w:p w:rsidR="00EA6635" w:rsidRPr="00EA6635" w:rsidRDefault="00EA6635" w:rsidP="00035F6E">
      <w:pPr>
        <w:rPr>
          <w:b/>
        </w:rPr>
      </w:pPr>
      <w:r w:rsidRPr="00EA6635">
        <w:rPr>
          <w:b/>
        </w:rPr>
        <w:t>§ 13 stk. 2.</w:t>
      </w:r>
    </w:p>
    <w:p w:rsidR="00395134" w:rsidRDefault="00EA6635" w:rsidP="00035F6E">
      <w:r>
        <w:t>Medlemmerne kan kun deltage i udvalgets afgivelse af indstillinger, når de er til stede under disse.</w:t>
      </w:r>
    </w:p>
    <w:p w:rsidR="006E5C82" w:rsidRDefault="006E5C82" w:rsidP="00035F6E"/>
    <w:p w:rsidR="006E5C82" w:rsidRDefault="006E5C82" w:rsidP="00035F6E"/>
    <w:p w:rsidR="006E5C82" w:rsidRDefault="006E5C82" w:rsidP="006E5C82">
      <w:pPr>
        <w:pStyle w:val="Overskrift1"/>
        <w:spacing w:after="240"/>
      </w:pPr>
      <w:r>
        <w:t>Mødereferater</w:t>
      </w:r>
    </w:p>
    <w:p w:rsidR="006E5C82" w:rsidRPr="006E5C82" w:rsidRDefault="006E5C82" w:rsidP="006E5C82">
      <w:pPr>
        <w:rPr>
          <w:b/>
        </w:rPr>
      </w:pPr>
      <w:r w:rsidRPr="006E5C82">
        <w:rPr>
          <w:b/>
        </w:rPr>
        <w:t xml:space="preserve">§ 14. </w:t>
      </w:r>
    </w:p>
    <w:p w:rsidR="006E5C82" w:rsidRDefault="006E5C82" w:rsidP="006E5C82">
      <w:r>
        <w:t>Der skrives et beslutningsreferat af møderne i Sundhedssamarbejdsudvalget.</w:t>
      </w:r>
    </w:p>
    <w:p w:rsidR="006E5C82" w:rsidRDefault="006E5C82" w:rsidP="006E5C82"/>
    <w:p w:rsidR="006E5C82" w:rsidRDefault="006E5C82" w:rsidP="006E5C82">
      <w:r w:rsidRPr="006E5C82">
        <w:rPr>
          <w:b/>
        </w:rPr>
        <w:t xml:space="preserve">§ 14 stk. 2. </w:t>
      </w:r>
      <w:r w:rsidRPr="006E5C82">
        <w:rPr>
          <w:b/>
        </w:rPr>
        <w:br/>
      </w:r>
      <w:r>
        <w:t>Ethvert medlem kan forlange mindretalsudtalelse ført til referat.</w:t>
      </w:r>
    </w:p>
    <w:p w:rsidR="006E5C82" w:rsidRDefault="006E5C82" w:rsidP="006E5C82"/>
    <w:p w:rsidR="006E5C82" w:rsidRDefault="006E5C82" w:rsidP="006E5C82">
      <w:r w:rsidRPr="006E5C82">
        <w:rPr>
          <w:b/>
        </w:rPr>
        <w:t>§ 14 stk. 3.</w:t>
      </w:r>
      <w:r>
        <w:t xml:space="preserve"> </w:t>
      </w:r>
      <w:r>
        <w:br/>
        <w:t xml:space="preserve">Beslutningsreferatet udsendes </w:t>
      </w:r>
      <w:r w:rsidR="00296EDF">
        <w:t>senest 3 hverdage</w:t>
      </w:r>
      <w:r>
        <w:t xml:space="preserve"> efter mødet til medlemmerne af Sundhedssamarbejdsudvalget. </w:t>
      </w:r>
      <w:r w:rsidR="001633BB">
        <w:br/>
      </w:r>
      <w:r>
        <w:t>Referatet anses som godkendt, hvis der ikke er indgive</w:t>
      </w:r>
      <w:r w:rsidR="009C5763">
        <w:t>t</w:t>
      </w:r>
      <w:r>
        <w:t xml:space="preserve"> indsigelser inden 7 dage efter udsendelsen. I tilfælde af indsigelser udsendes revideret referat til fornyet godkendelse efter samme procedure.</w:t>
      </w:r>
    </w:p>
    <w:p w:rsidR="009C5763" w:rsidRDefault="009C5763" w:rsidP="006E5C82"/>
    <w:p w:rsidR="009C5763" w:rsidRDefault="009C5763" w:rsidP="006E5C82"/>
    <w:p w:rsidR="00156FB0" w:rsidRDefault="00156FB0" w:rsidP="00156FB0">
      <w:pPr>
        <w:pStyle w:val="Overskrift1"/>
        <w:spacing w:after="240"/>
      </w:pPr>
      <w:r>
        <w:t>Andre bestemmelser</w:t>
      </w:r>
    </w:p>
    <w:p w:rsidR="00156FB0" w:rsidRDefault="00156FB0" w:rsidP="006E5C82">
      <w:r w:rsidRPr="00156FB0">
        <w:rPr>
          <w:b/>
        </w:rPr>
        <w:t>§ 15.</w:t>
      </w:r>
      <w:r>
        <w:t xml:space="preserve"> </w:t>
      </w:r>
      <w:r>
        <w:br/>
        <w:t>Denne forretningsorden træder i kraft den 15. oktober</w:t>
      </w:r>
      <w:r w:rsidR="002C379D">
        <w:t xml:space="preserve"> 2022.</w:t>
      </w:r>
    </w:p>
    <w:p w:rsidR="00156FB0" w:rsidRDefault="00156FB0" w:rsidP="006E5C82"/>
    <w:p w:rsidR="00156FB0" w:rsidRPr="00156FB0" w:rsidRDefault="00156FB0" w:rsidP="006E5C82">
      <w:pPr>
        <w:rPr>
          <w:b/>
        </w:rPr>
      </w:pPr>
      <w:r w:rsidRPr="00156FB0">
        <w:rPr>
          <w:b/>
        </w:rPr>
        <w:t>§ 15 stk. 2.</w:t>
      </w:r>
    </w:p>
    <w:p w:rsidR="00156FB0" w:rsidRDefault="00156FB0" w:rsidP="006E5C82">
      <w:r>
        <w:t xml:space="preserve">Ændringer i og tillæg til forretningsordenen skal behandles på et ordinært møde i Sundhedssamarbejdsudvalget. </w:t>
      </w:r>
    </w:p>
    <w:p w:rsidR="00156FB0" w:rsidRDefault="00156FB0" w:rsidP="006E5C82"/>
    <w:p w:rsidR="00156FB0" w:rsidRDefault="00156FB0" w:rsidP="006E5C82">
      <w:r>
        <w:t xml:space="preserve">Vedtaget på Sundhedssamarbejdsudvalgets møde den 14. oktober 2022. </w:t>
      </w:r>
    </w:p>
    <w:p w:rsidR="00156FB0" w:rsidRDefault="00156FB0" w:rsidP="006E5C82">
      <w:r>
        <w:br/>
      </w:r>
      <w:r>
        <w:br/>
        <w:t>Stephanie Lose</w:t>
      </w:r>
      <w:r>
        <w:tab/>
      </w:r>
      <w:r>
        <w:tab/>
      </w:r>
      <w:r>
        <w:tab/>
      </w:r>
      <w:r>
        <w:tab/>
      </w:r>
      <w:r>
        <w:tab/>
      </w:r>
      <w:r>
        <w:tab/>
      </w:r>
      <w:r>
        <w:tab/>
      </w:r>
      <w:r>
        <w:tab/>
      </w:r>
      <w:r>
        <w:tab/>
      </w:r>
      <w:r>
        <w:tab/>
      </w:r>
      <w:r>
        <w:tab/>
        <w:t xml:space="preserve">Mads Skau </w:t>
      </w:r>
    </w:p>
    <w:p w:rsidR="00156FB0" w:rsidRPr="006E5C82" w:rsidRDefault="00156FB0" w:rsidP="006E5C82">
      <w:r>
        <w:t xml:space="preserve">Formand Sundhedskoordinationsudvalget </w:t>
      </w:r>
      <w:r>
        <w:tab/>
      </w:r>
      <w:r>
        <w:tab/>
        <w:t xml:space="preserve">Næstformand Sundhedssamarbejdsudvalget </w:t>
      </w:r>
    </w:p>
    <w:sectPr w:rsidR="00156FB0" w:rsidRPr="006E5C82" w:rsidSect="007C238C">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81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CC" w:rsidRPr="002C0AB4" w:rsidRDefault="005113CC" w:rsidP="00E53BE2">
      <w:r w:rsidRPr="002C0AB4">
        <w:separator/>
      </w:r>
    </w:p>
  </w:endnote>
  <w:endnote w:type="continuationSeparator" w:id="0">
    <w:p w:rsidR="005113CC" w:rsidRPr="002C0AB4" w:rsidRDefault="005113CC"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AA" w:rsidRDefault="002253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rsidTr="0013360D">
      <w:trPr>
        <w:trHeight w:hRule="exact" w:val="1134"/>
      </w:trPr>
      <w:tc>
        <w:tcPr>
          <w:tcW w:w="4535" w:type="dxa"/>
          <w:vAlign w:val="bottom"/>
        </w:tcPr>
        <w:p w:rsidR="009B3FDC" w:rsidRPr="002C0AB4" w:rsidRDefault="009B3FDC" w:rsidP="0013360D">
          <w:pPr>
            <w:spacing w:line="220" w:lineRule="atLeast"/>
            <w:rPr>
              <w:sz w:val="16"/>
              <w:szCs w:val="16"/>
            </w:rPr>
          </w:pPr>
          <w:bookmarkStart w:id="1" w:name="bmkLogoFooterPage2"/>
          <w:bookmarkEnd w:id="1"/>
        </w:p>
      </w:tc>
      <w:tc>
        <w:tcPr>
          <w:tcW w:w="4535" w:type="dxa"/>
          <w:vAlign w:val="bottom"/>
        </w:tcPr>
        <w:p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4C4B2A">
            <w:rPr>
              <w:noProof/>
              <w:sz w:val="16"/>
              <w:szCs w:val="16"/>
            </w:rPr>
            <w:t>4</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4C4B2A">
            <w:rPr>
              <w:noProof/>
              <w:sz w:val="16"/>
              <w:szCs w:val="16"/>
            </w:rPr>
            <w:t>4</w:t>
          </w:r>
          <w:r w:rsidRPr="002C0AB4">
            <w:rPr>
              <w:sz w:val="16"/>
              <w:szCs w:val="16"/>
            </w:rPr>
            <w:fldChar w:fldCharType="end"/>
          </w:r>
        </w:p>
      </w:tc>
    </w:tr>
  </w:tbl>
  <w:p w:rsidR="009B3FDC" w:rsidRPr="002C0AB4" w:rsidRDefault="009B3FD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rsidTr="0013360D">
      <w:trPr>
        <w:trHeight w:hRule="exact" w:val="1134"/>
      </w:trPr>
      <w:tc>
        <w:tcPr>
          <w:tcW w:w="4535" w:type="dxa"/>
          <w:vAlign w:val="bottom"/>
        </w:tcPr>
        <w:p w:rsidR="00B960C2" w:rsidRPr="002C0AB4" w:rsidRDefault="00B960C2" w:rsidP="0013360D">
          <w:pPr>
            <w:spacing w:line="220" w:lineRule="atLeast"/>
            <w:rPr>
              <w:sz w:val="16"/>
              <w:szCs w:val="16"/>
            </w:rPr>
          </w:pPr>
          <w:bookmarkStart w:id="2" w:name="bmkLogoFooterPage1"/>
          <w:bookmarkEnd w:id="2"/>
        </w:p>
      </w:tc>
      <w:tc>
        <w:tcPr>
          <w:tcW w:w="4535" w:type="dxa"/>
          <w:vAlign w:val="bottom"/>
        </w:tcPr>
        <w:p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4C4B2A">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4C4B2A">
            <w:rPr>
              <w:rFonts w:ascii="Calibri" w:hAnsi="Calibri" w:cs="Calibri"/>
              <w:b/>
              <w:noProof/>
              <w:color w:val="004DFF" w:themeColor="accent3"/>
              <w:sz w:val="16"/>
              <w:szCs w:val="16"/>
            </w:rPr>
            <w:t>4</w:t>
          </w:r>
          <w:r w:rsidRPr="000A23E8">
            <w:rPr>
              <w:rFonts w:ascii="Calibri" w:hAnsi="Calibri" w:cs="Calibri"/>
              <w:b/>
              <w:color w:val="004DFF" w:themeColor="accent3"/>
              <w:sz w:val="16"/>
              <w:szCs w:val="16"/>
            </w:rPr>
            <w:fldChar w:fldCharType="end"/>
          </w:r>
        </w:p>
      </w:tc>
    </w:tr>
  </w:tbl>
  <w:p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CC" w:rsidRPr="002C0AB4" w:rsidRDefault="005113CC" w:rsidP="00E53BE2">
      <w:r w:rsidRPr="002C0AB4">
        <w:separator/>
      </w:r>
    </w:p>
  </w:footnote>
  <w:footnote w:type="continuationSeparator" w:id="0">
    <w:p w:rsidR="005113CC" w:rsidRPr="002C0AB4" w:rsidRDefault="005113CC"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AA" w:rsidRDefault="002253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rsidTr="0011133C">
      <w:trPr>
        <w:trHeight w:hRule="exact" w:val="851"/>
      </w:trPr>
      <w:tc>
        <w:tcPr>
          <w:tcW w:w="9210" w:type="dxa"/>
          <w:vAlign w:val="bottom"/>
        </w:tcPr>
        <w:p w:rsidR="009B3FDC" w:rsidRPr="002C0AB4" w:rsidRDefault="00E12764" w:rsidP="0011133C">
          <w:r>
            <w:rPr>
              <w:noProof/>
              <w:lang w:eastAsia="da-DK"/>
            </w:rPr>
            <w:drawing>
              <wp:inline distT="0" distB="0" distL="0" distR="0" wp14:anchorId="10C40643" wp14:editId="4B30E585">
                <wp:extent cx="1489073" cy="515449"/>
                <wp:effectExtent l="0" t="0" r="0" b="0"/>
                <wp:docPr id="7" name="Billede 7"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rsidR="00205B17" w:rsidRPr="002C0AB4" w:rsidRDefault="00205B17" w:rsidP="009B3FD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2" w:rsidRPr="002C0AB4" w:rsidRDefault="007C238C" w:rsidP="00B960C2">
    <w:r>
      <w:rPr>
        <w:noProof/>
        <w:lang w:eastAsia="da-DK"/>
      </w:rPr>
      <w:ptab w:relativeTo="margin" w:alignment="right" w:leader="none"/>
    </w:r>
    <w:r>
      <w:rPr>
        <w:noProof/>
        <w:lang w:eastAsia="da-DK"/>
      </w:rPr>
      <w:drawing>
        <wp:inline distT="0" distB="0" distL="0" distR="0" wp14:anchorId="18335DDA" wp14:editId="05A423A1">
          <wp:extent cx="2448000" cy="847385"/>
          <wp:effectExtent l="0" t="0" r="0" b="0"/>
          <wp:docPr id="5" name="Billede 5" descr="Sundhedsaftalens logo, der viser en trekløver i blå, grøn og rød og med teksten &quot;Region Syddnmark og de 22 kommuner&quot;." title="Sundhedsaftal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rsidR="00B960C2" w:rsidRPr="002C0AB4" w:rsidRDefault="00B960C2" w:rsidP="00B960C2"/>
  <w:p w:rsidR="00B960C2" w:rsidRDefault="00B960C2" w:rsidP="00B960C2"/>
  <w:p w:rsidR="007C238C" w:rsidRDefault="007C238C" w:rsidP="00B960C2"/>
  <w:p w:rsidR="007C238C" w:rsidRPr="002C0AB4" w:rsidRDefault="007C238C"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Pr>
      <w:pStyle w:val="Sidehoved"/>
      <w:spacing w:line="240" w:lineRule="atLeast"/>
    </w:pPr>
  </w:p>
  <w:p w:rsidR="00CE11A9" w:rsidRPr="002C0AB4" w:rsidRDefault="003E2437" w:rsidP="00B960C2">
    <w:pPr>
      <w:pStyle w:val="Sidehoved"/>
      <w:spacing w:line="240" w:lineRule="atLeast"/>
    </w:pPr>
    <w:r>
      <w:rPr>
        <w:noProof/>
        <w:lang w:eastAsia="da-DK"/>
      </w:rPr>
      <w:drawing>
        <wp:anchor distT="0" distB="0" distL="114300" distR="114300" simplePos="0" relativeHeight="251657216" behindDoc="1" locked="0" layoutInCell="1" allowOverlap="1" wp14:anchorId="65F5D391" wp14:editId="22C25C09">
          <wp:simplePos x="0" y="0"/>
          <wp:positionH relativeFrom="column">
            <wp:posOffset>1690370</wp:posOffset>
          </wp:positionH>
          <wp:positionV relativeFrom="paragraph">
            <wp:posOffset>2336800</wp:posOffset>
          </wp:positionV>
          <wp:extent cx="5400675" cy="5546722"/>
          <wp:effectExtent l="0" t="0" r="0" b="0"/>
          <wp:wrapNone/>
          <wp:docPr id="6" name="Billede 6" descr="Billedet er et vandmærke, der illustrerer det kløver, der også er i Sundhedsaftalens logo" title="Klø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152"/>
    <w:multiLevelType w:val="hybridMultilevel"/>
    <w:tmpl w:val="08AE6A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5F1DBF"/>
    <w:multiLevelType w:val="hybridMultilevel"/>
    <w:tmpl w:val="CBDE9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974F26"/>
    <w:multiLevelType w:val="hybridMultilevel"/>
    <w:tmpl w:val="63622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EB0A48"/>
    <w:multiLevelType w:val="hybridMultilevel"/>
    <w:tmpl w:val="647A3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B042018"/>
    <w:multiLevelType w:val="hybridMultilevel"/>
    <w:tmpl w:val="880CDD1E"/>
    <w:lvl w:ilvl="0" w:tplc="DD6865DE">
      <w:numFmt w:val="bullet"/>
      <w:lvlText w:val="•"/>
      <w:lvlJc w:val="left"/>
      <w:pPr>
        <w:ind w:left="720" w:hanging="360"/>
      </w:pPr>
      <w:rPr>
        <w:rFonts w:ascii="Verdana" w:eastAsiaTheme="minorHAnsi" w:hAnsi="Verdana"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4"/>
  </w:num>
  <w:num w:numId="3">
    <w:abstractNumId w:val="16"/>
  </w:num>
  <w:num w:numId="4">
    <w:abstractNumId w:val="15"/>
  </w:num>
  <w:num w:numId="5">
    <w:abstractNumId w:val="17"/>
  </w:num>
  <w:num w:numId="6">
    <w:abstractNumId w:val="18"/>
  </w:num>
  <w:num w:numId="7">
    <w:abstractNumId w:val="10"/>
  </w:num>
  <w:num w:numId="8">
    <w:abstractNumId w:val="2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9"/>
  </w:num>
  <w:num w:numId="14">
    <w:abstractNumId w:val="11"/>
  </w:num>
  <w:num w:numId="15">
    <w:abstractNumId w:val="5"/>
  </w:num>
  <w:num w:numId="16">
    <w:abstractNumId w:val="4"/>
  </w:num>
  <w:num w:numId="17">
    <w:abstractNumId w:val="7"/>
  </w:num>
  <w:num w:numId="18">
    <w:abstractNumId w:val="0"/>
  </w:num>
  <w:num w:numId="19">
    <w:abstractNumId w:val="6"/>
  </w:num>
  <w:num w:numId="20">
    <w:abstractNumId w:val="12"/>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5113CC"/>
    <w:rsid w:val="00017104"/>
    <w:rsid w:val="00023BD0"/>
    <w:rsid w:val="00033D5B"/>
    <w:rsid w:val="00035F6E"/>
    <w:rsid w:val="000460C9"/>
    <w:rsid w:val="000504AD"/>
    <w:rsid w:val="00056D92"/>
    <w:rsid w:val="00074D52"/>
    <w:rsid w:val="00091FB6"/>
    <w:rsid w:val="00092B6D"/>
    <w:rsid w:val="00095D7C"/>
    <w:rsid w:val="000A23E8"/>
    <w:rsid w:val="000C1592"/>
    <w:rsid w:val="000C24D6"/>
    <w:rsid w:val="000C4297"/>
    <w:rsid w:val="000C68A6"/>
    <w:rsid w:val="000D3CDB"/>
    <w:rsid w:val="001027A4"/>
    <w:rsid w:val="0011133C"/>
    <w:rsid w:val="00127B25"/>
    <w:rsid w:val="00131D2C"/>
    <w:rsid w:val="0014357E"/>
    <w:rsid w:val="00156FB0"/>
    <w:rsid w:val="00157380"/>
    <w:rsid w:val="001633BB"/>
    <w:rsid w:val="00186E94"/>
    <w:rsid w:val="001B7496"/>
    <w:rsid w:val="001D2F77"/>
    <w:rsid w:val="001E3CF9"/>
    <w:rsid w:val="00205526"/>
    <w:rsid w:val="00205B17"/>
    <w:rsid w:val="00210A53"/>
    <w:rsid w:val="00217E36"/>
    <w:rsid w:val="002253AA"/>
    <w:rsid w:val="00244223"/>
    <w:rsid w:val="00262F1D"/>
    <w:rsid w:val="00285A18"/>
    <w:rsid w:val="00296EDF"/>
    <w:rsid w:val="002B171C"/>
    <w:rsid w:val="002C0AB4"/>
    <w:rsid w:val="002C379D"/>
    <w:rsid w:val="002C5A37"/>
    <w:rsid w:val="002D76B9"/>
    <w:rsid w:val="00317367"/>
    <w:rsid w:val="0032634C"/>
    <w:rsid w:val="00335376"/>
    <w:rsid w:val="00353EFE"/>
    <w:rsid w:val="00357223"/>
    <w:rsid w:val="00363F62"/>
    <w:rsid w:val="00371D45"/>
    <w:rsid w:val="00381A47"/>
    <w:rsid w:val="00387425"/>
    <w:rsid w:val="00395134"/>
    <w:rsid w:val="003C1743"/>
    <w:rsid w:val="003E2352"/>
    <w:rsid w:val="003E2437"/>
    <w:rsid w:val="00434CDA"/>
    <w:rsid w:val="00440B15"/>
    <w:rsid w:val="00450E13"/>
    <w:rsid w:val="00462C69"/>
    <w:rsid w:val="004C26F4"/>
    <w:rsid w:val="004C4B2A"/>
    <w:rsid w:val="004C4F83"/>
    <w:rsid w:val="004D31D3"/>
    <w:rsid w:val="004E1FB4"/>
    <w:rsid w:val="004E2907"/>
    <w:rsid w:val="004E4CED"/>
    <w:rsid w:val="004F2203"/>
    <w:rsid w:val="004F7156"/>
    <w:rsid w:val="005113CC"/>
    <w:rsid w:val="00520288"/>
    <w:rsid w:val="00525570"/>
    <w:rsid w:val="0053165B"/>
    <w:rsid w:val="00572FDA"/>
    <w:rsid w:val="00592609"/>
    <w:rsid w:val="005933F8"/>
    <w:rsid w:val="005A104B"/>
    <w:rsid w:val="005A2867"/>
    <w:rsid w:val="005D2C1A"/>
    <w:rsid w:val="005D69ED"/>
    <w:rsid w:val="005E2ADE"/>
    <w:rsid w:val="005E4CA9"/>
    <w:rsid w:val="00635C83"/>
    <w:rsid w:val="00656720"/>
    <w:rsid w:val="00684B34"/>
    <w:rsid w:val="006879A3"/>
    <w:rsid w:val="00693A00"/>
    <w:rsid w:val="006945DD"/>
    <w:rsid w:val="006B4715"/>
    <w:rsid w:val="006C6D7B"/>
    <w:rsid w:val="006E5C82"/>
    <w:rsid w:val="006F3787"/>
    <w:rsid w:val="006F3F36"/>
    <w:rsid w:val="0070075F"/>
    <w:rsid w:val="007224AF"/>
    <w:rsid w:val="00740FEB"/>
    <w:rsid w:val="0074216B"/>
    <w:rsid w:val="0075490C"/>
    <w:rsid w:val="0077027E"/>
    <w:rsid w:val="00770CB7"/>
    <w:rsid w:val="007A61A2"/>
    <w:rsid w:val="007C238C"/>
    <w:rsid w:val="007C3EF4"/>
    <w:rsid w:val="007C5875"/>
    <w:rsid w:val="008068EB"/>
    <w:rsid w:val="00825814"/>
    <w:rsid w:val="008439FB"/>
    <w:rsid w:val="0084672F"/>
    <w:rsid w:val="008817B6"/>
    <w:rsid w:val="00890104"/>
    <w:rsid w:val="008B3FCF"/>
    <w:rsid w:val="008D5AFA"/>
    <w:rsid w:val="008F20F4"/>
    <w:rsid w:val="0090081E"/>
    <w:rsid w:val="00903364"/>
    <w:rsid w:val="00927658"/>
    <w:rsid w:val="00931B0A"/>
    <w:rsid w:val="00946F92"/>
    <w:rsid w:val="00964DAE"/>
    <w:rsid w:val="00975214"/>
    <w:rsid w:val="0097764F"/>
    <w:rsid w:val="009A36C7"/>
    <w:rsid w:val="009B3FDC"/>
    <w:rsid w:val="009C2991"/>
    <w:rsid w:val="009C5763"/>
    <w:rsid w:val="009D519C"/>
    <w:rsid w:val="009D6FFE"/>
    <w:rsid w:val="009F169B"/>
    <w:rsid w:val="00A31B90"/>
    <w:rsid w:val="00A4661E"/>
    <w:rsid w:val="00A62D3F"/>
    <w:rsid w:val="00A70B38"/>
    <w:rsid w:val="00AB45D4"/>
    <w:rsid w:val="00AD578A"/>
    <w:rsid w:val="00AF2199"/>
    <w:rsid w:val="00AF62BD"/>
    <w:rsid w:val="00B11E26"/>
    <w:rsid w:val="00B13DDA"/>
    <w:rsid w:val="00B263F3"/>
    <w:rsid w:val="00B336FB"/>
    <w:rsid w:val="00B47DAA"/>
    <w:rsid w:val="00B80E20"/>
    <w:rsid w:val="00B960C2"/>
    <w:rsid w:val="00BB4804"/>
    <w:rsid w:val="00BB6CE1"/>
    <w:rsid w:val="00BD0DCB"/>
    <w:rsid w:val="00BD4975"/>
    <w:rsid w:val="00BE0335"/>
    <w:rsid w:val="00BF434F"/>
    <w:rsid w:val="00C02F95"/>
    <w:rsid w:val="00C11074"/>
    <w:rsid w:val="00C21752"/>
    <w:rsid w:val="00C24C2A"/>
    <w:rsid w:val="00C31532"/>
    <w:rsid w:val="00C406E1"/>
    <w:rsid w:val="00C42078"/>
    <w:rsid w:val="00C42DC4"/>
    <w:rsid w:val="00C62EDF"/>
    <w:rsid w:val="00C7305B"/>
    <w:rsid w:val="00C75E03"/>
    <w:rsid w:val="00C8283E"/>
    <w:rsid w:val="00CB09BB"/>
    <w:rsid w:val="00CD25E4"/>
    <w:rsid w:val="00CD2718"/>
    <w:rsid w:val="00CE11A9"/>
    <w:rsid w:val="00CE7886"/>
    <w:rsid w:val="00D10496"/>
    <w:rsid w:val="00D1108A"/>
    <w:rsid w:val="00D14495"/>
    <w:rsid w:val="00D22F52"/>
    <w:rsid w:val="00D30279"/>
    <w:rsid w:val="00D30CE3"/>
    <w:rsid w:val="00D316F5"/>
    <w:rsid w:val="00D37C30"/>
    <w:rsid w:val="00D62251"/>
    <w:rsid w:val="00D861BD"/>
    <w:rsid w:val="00DA25CD"/>
    <w:rsid w:val="00DA2B84"/>
    <w:rsid w:val="00DB34FA"/>
    <w:rsid w:val="00DB65A8"/>
    <w:rsid w:val="00DB6F5A"/>
    <w:rsid w:val="00DC0011"/>
    <w:rsid w:val="00DC6461"/>
    <w:rsid w:val="00DD1074"/>
    <w:rsid w:val="00E12764"/>
    <w:rsid w:val="00E20211"/>
    <w:rsid w:val="00E53BE2"/>
    <w:rsid w:val="00E67FD7"/>
    <w:rsid w:val="00E86C93"/>
    <w:rsid w:val="00E95D93"/>
    <w:rsid w:val="00EA657A"/>
    <w:rsid w:val="00EA6635"/>
    <w:rsid w:val="00EC6702"/>
    <w:rsid w:val="00EF64BC"/>
    <w:rsid w:val="00F00A97"/>
    <w:rsid w:val="00F27534"/>
    <w:rsid w:val="00F45C93"/>
    <w:rsid w:val="00F47AA7"/>
    <w:rsid w:val="00F622B4"/>
    <w:rsid w:val="00F77378"/>
    <w:rsid w:val="00F80A2B"/>
    <w:rsid w:val="00F9090D"/>
    <w:rsid w:val="00F962AD"/>
    <w:rsid w:val="00F96452"/>
    <w:rsid w:val="00FC06BE"/>
    <w:rsid w:val="00FD04BA"/>
    <w:rsid w:val="00FD4256"/>
    <w:rsid w:val="00FE4957"/>
    <w:rsid w:val="00FE7A27"/>
    <w:rsid w:val="00FF1D1D"/>
    <w:rsid w:val="00FF2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customStyle="1" w:styleId="Default">
    <w:name w:val="Default"/>
    <w:rsid w:val="001573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D2E98-CFB3-4BBA-B09C-1CFD46CB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Notat</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
  <cp:lastModifiedBy/>
  <cp:revision>1</cp:revision>
  <dcterms:created xsi:type="dcterms:W3CDTF">2022-10-18T09:13:00Z</dcterms:created>
  <dcterms:modified xsi:type="dcterms:W3CDTF">2022-10-18T09:13:00Z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{12EB11A4-3790-4651-AD29-A3C3DE922330}</vt:lpwstr>
  </property>
</Properties>
</file>